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B657" w14:textId="04C948DE" w:rsidR="006C66A7" w:rsidRPr="00E170B6" w:rsidRDefault="006C66A7" w:rsidP="006C66A7">
      <w:pPr>
        <w:bidi/>
        <w:jc w:val="center"/>
        <w:rPr>
          <w:rFonts w:asciiTheme="majorBidi" w:hAnsiTheme="majorBidi" w:cstheme="majorBidi"/>
          <w:b/>
          <w:bCs/>
          <w:sz w:val="28"/>
          <w:szCs w:val="28"/>
        </w:rPr>
      </w:pPr>
      <w:r w:rsidRPr="00E170B6">
        <w:rPr>
          <w:rFonts w:asciiTheme="majorBidi" w:hAnsiTheme="majorBidi" w:cstheme="majorBidi"/>
          <w:b/>
          <w:bCs/>
          <w:sz w:val="28"/>
          <w:szCs w:val="28"/>
        </w:rPr>
        <w:t>P</w:t>
      </w:r>
      <w:r>
        <w:rPr>
          <w:rFonts w:asciiTheme="majorBidi" w:hAnsiTheme="majorBidi" w:cstheme="majorBidi"/>
          <w:b/>
          <w:bCs/>
          <w:sz w:val="28"/>
          <w:szCs w:val="28"/>
        </w:rPr>
        <w:t>engaruh</w:t>
      </w:r>
      <w:r w:rsidRPr="00E170B6">
        <w:rPr>
          <w:rFonts w:asciiTheme="majorBidi" w:hAnsiTheme="majorBidi" w:cstheme="majorBidi"/>
          <w:b/>
          <w:bCs/>
          <w:sz w:val="28"/>
          <w:szCs w:val="28"/>
        </w:rPr>
        <w:t xml:space="preserve"> R</w:t>
      </w:r>
      <w:r>
        <w:rPr>
          <w:rFonts w:asciiTheme="majorBidi" w:hAnsiTheme="majorBidi" w:cstheme="majorBidi"/>
          <w:b/>
          <w:bCs/>
          <w:sz w:val="28"/>
          <w:szCs w:val="28"/>
        </w:rPr>
        <w:t>eturn</w:t>
      </w:r>
      <w:r w:rsidRPr="00E170B6">
        <w:rPr>
          <w:rFonts w:asciiTheme="majorBidi" w:hAnsiTheme="majorBidi" w:cstheme="majorBidi"/>
          <w:b/>
          <w:bCs/>
          <w:sz w:val="28"/>
          <w:szCs w:val="28"/>
        </w:rPr>
        <w:t xml:space="preserve"> </w:t>
      </w:r>
      <w:r>
        <w:rPr>
          <w:rFonts w:asciiTheme="majorBidi" w:hAnsiTheme="majorBidi" w:cstheme="majorBidi"/>
          <w:b/>
          <w:bCs/>
          <w:sz w:val="28"/>
          <w:szCs w:val="28"/>
        </w:rPr>
        <w:t>on</w:t>
      </w:r>
      <w:r w:rsidRPr="00E170B6">
        <w:rPr>
          <w:rFonts w:asciiTheme="majorBidi" w:hAnsiTheme="majorBidi" w:cstheme="majorBidi"/>
          <w:b/>
          <w:bCs/>
          <w:sz w:val="28"/>
          <w:szCs w:val="28"/>
        </w:rPr>
        <w:t xml:space="preserve"> A</w:t>
      </w:r>
      <w:r>
        <w:rPr>
          <w:rFonts w:asciiTheme="majorBidi" w:hAnsiTheme="majorBidi" w:cstheme="majorBidi"/>
          <w:b/>
          <w:bCs/>
          <w:sz w:val="28"/>
          <w:szCs w:val="28"/>
        </w:rPr>
        <w:t>ssets</w:t>
      </w:r>
      <w:r w:rsidRPr="00E170B6">
        <w:rPr>
          <w:rFonts w:asciiTheme="majorBidi" w:hAnsiTheme="majorBidi" w:cstheme="majorBidi"/>
          <w:b/>
          <w:bCs/>
          <w:sz w:val="28"/>
          <w:szCs w:val="28"/>
        </w:rPr>
        <w:t xml:space="preserve"> </w:t>
      </w:r>
      <w:r>
        <w:rPr>
          <w:rFonts w:asciiTheme="majorBidi" w:hAnsiTheme="majorBidi" w:cstheme="majorBidi"/>
          <w:b/>
          <w:bCs/>
          <w:sz w:val="28"/>
          <w:szCs w:val="28"/>
        </w:rPr>
        <w:t xml:space="preserve">dan </w:t>
      </w:r>
      <w:r w:rsidRPr="00E170B6">
        <w:rPr>
          <w:rFonts w:asciiTheme="majorBidi" w:hAnsiTheme="majorBidi" w:cstheme="majorBidi"/>
          <w:b/>
          <w:bCs/>
          <w:sz w:val="28"/>
          <w:szCs w:val="28"/>
        </w:rPr>
        <w:t>D</w:t>
      </w:r>
      <w:r>
        <w:rPr>
          <w:rFonts w:asciiTheme="majorBidi" w:hAnsiTheme="majorBidi" w:cstheme="majorBidi"/>
          <w:b/>
          <w:bCs/>
          <w:sz w:val="28"/>
          <w:szCs w:val="28"/>
        </w:rPr>
        <w:t xml:space="preserve">ebt to </w:t>
      </w:r>
      <w:r w:rsidRPr="00E170B6">
        <w:rPr>
          <w:rFonts w:asciiTheme="majorBidi" w:hAnsiTheme="majorBidi" w:cstheme="majorBidi"/>
          <w:b/>
          <w:bCs/>
          <w:sz w:val="28"/>
          <w:szCs w:val="28"/>
        </w:rPr>
        <w:t>E</w:t>
      </w:r>
      <w:r>
        <w:rPr>
          <w:rFonts w:asciiTheme="majorBidi" w:hAnsiTheme="majorBidi" w:cstheme="majorBidi"/>
          <w:b/>
          <w:bCs/>
          <w:sz w:val="28"/>
          <w:szCs w:val="28"/>
        </w:rPr>
        <w:t>quity</w:t>
      </w:r>
      <w:r w:rsidRPr="00E170B6">
        <w:rPr>
          <w:rFonts w:asciiTheme="majorBidi" w:hAnsiTheme="majorBidi" w:cstheme="majorBidi"/>
          <w:b/>
          <w:bCs/>
          <w:sz w:val="28"/>
          <w:szCs w:val="28"/>
        </w:rPr>
        <w:t xml:space="preserve"> R</w:t>
      </w:r>
      <w:r>
        <w:rPr>
          <w:rFonts w:asciiTheme="majorBidi" w:hAnsiTheme="majorBidi" w:cstheme="majorBidi"/>
          <w:b/>
          <w:bCs/>
          <w:sz w:val="28"/>
          <w:szCs w:val="28"/>
        </w:rPr>
        <w:t>atio</w:t>
      </w:r>
      <w:r w:rsidRPr="00E170B6">
        <w:rPr>
          <w:rFonts w:asciiTheme="majorBidi" w:hAnsiTheme="majorBidi" w:cstheme="majorBidi"/>
          <w:b/>
          <w:bCs/>
          <w:sz w:val="28"/>
          <w:szCs w:val="28"/>
        </w:rPr>
        <w:t xml:space="preserve"> </w:t>
      </w:r>
      <w:r>
        <w:rPr>
          <w:rFonts w:asciiTheme="majorBidi" w:hAnsiTheme="majorBidi" w:cstheme="majorBidi"/>
          <w:b/>
          <w:bCs/>
          <w:sz w:val="28"/>
          <w:szCs w:val="28"/>
        </w:rPr>
        <w:t xml:space="preserve">terhadap </w:t>
      </w:r>
      <w:r w:rsidRPr="00E170B6">
        <w:rPr>
          <w:rFonts w:asciiTheme="majorBidi" w:hAnsiTheme="majorBidi" w:cstheme="majorBidi"/>
          <w:b/>
          <w:bCs/>
          <w:sz w:val="28"/>
          <w:szCs w:val="28"/>
        </w:rPr>
        <w:t>H</w:t>
      </w:r>
      <w:r>
        <w:rPr>
          <w:rFonts w:asciiTheme="majorBidi" w:hAnsiTheme="majorBidi" w:cstheme="majorBidi"/>
          <w:b/>
          <w:bCs/>
          <w:sz w:val="28"/>
          <w:szCs w:val="28"/>
        </w:rPr>
        <w:t>arga</w:t>
      </w:r>
      <w:r w:rsidRPr="00E170B6">
        <w:rPr>
          <w:rFonts w:asciiTheme="majorBidi" w:hAnsiTheme="majorBidi" w:cstheme="majorBidi"/>
          <w:b/>
          <w:bCs/>
          <w:sz w:val="28"/>
          <w:szCs w:val="28"/>
        </w:rPr>
        <w:t xml:space="preserve"> S</w:t>
      </w:r>
      <w:r>
        <w:rPr>
          <w:rFonts w:asciiTheme="majorBidi" w:hAnsiTheme="majorBidi" w:cstheme="majorBidi"/>
          <w:b/>
          <w:bCs/>
          <w:sz w:val="28"/>
          <w:szCs w:val="28"/>
        </w:rPr>
        <w:t>aham</w:t>
      </w:r>
      <w:r w:rsidRPr="00E170B6">
        <w:rPr>
          <w:rFonts w:asciiTheme="majorBidi" w:hAnsiTheme="majorBidi" w:cstheme="majorBidi"/>
          <w:b/>
          <w:bCs/>
          <w:sz w:val="28"/>
          <w:szCs w:val="28"/>
        </w:rPr>
        <w:t xml:space="preserve"> P</w:t>
      </w:r>
      <w:r>
        <w:rPr>
          <w:rFonts w:asciiTheme="majorBidi" w:hAnsiTheme="majorBidi" w:cstheme="majorBidi"/>
          <w:b/>
          <w:bCs/>
          <w:sz w:val="28"/>
          <w:szCs w:val="28"/>
        </w:rPr>
        <w:t xml:space="preserve">erusahaan Sub </w:t>
      </w:r>
      <w:r w:rsidRPr="00E170B6">
        <w:rPr>
          <w:rFonts w:asciiTheme="majorBidi" w:hAnsiTheme="majorBidi" w:cstheme="majorBidi"/>
          <w:b/>
          <w:bCs/>
          <w:sz w:val="28"/>
          <w:szCs w:val="28"/>
        </w:rPr>
        <w:t>S</w:t>
      </w:r>
      <w:r>
        <w:rPr>
          <w:rFonts w:asciiTheme="majorBidi" w:hAnsiTheme="majorBidi" w:cstheme="majorBidi"/>
          <w:b/>
          <w:bCs/>
          <w:sz w:val="28"/>
          <w:szCs w:val="28"/>
        </w:rPr>
        <w:t>ektor</w:t>
      </w:r>
      <w:r w:rsidRPr="00E170B6">
        <w:rPr>
          <w:rFonts w:asciiTheme="majorBidi" w:hAnsiTheme="majorBidi" w:cstheme="majorBidi"/>
          <w:b/>
          <w:bCs/>
          <w:sz w:val="28"/>
          <w:szCs w:val="28"/>
        </w:rPr>
        <w:t xml:space="preserve"> T</w:t>
      </w:r>
      <w:r>
        <w:rPr>
          <w:rFonts w:asciiTheme="majorBidi" w:hAnsiTheme="majorBidi" w:cstheme="majorBidi"/>
          <w:b/>
          <w:bCs/>
          <w:sz w:val="28"/>
          <w:szCs w:val="28"/>
        </w:rPr>
        <w:t>ransportasi</w:t>
      </w:r>
      <w:r w:rsidRPr="00E170B6">
        <w:rPr>
          <w:rFonts w:asciiTheme="majorBidi" w:hAnsiTheme="majorBidi" w:cstheme="majorBidi"/>
          <w:b/>
          <w:bCs/>
          <w:sz w:val="28"/>
          <w:szCs w:val="28"/>
        </w:rPr>
        <w:t xml:space="preserve"> </w:t>
      </w:r>
      <w:r>
        <w:rPr>
          <w:rFonts w:asciiTheme="majorBidi" w:hAnsiTheme="majorBidi" w:cstheme="majorBidi"/>
          <w:b/>
          <w:bCs/>
          <w:sz w:val="28"/>
          <w:szCs w:val="28"/>
        </w:rPr>
        <w:t xml:space="preserve">dan </w:t>
      </w:r>
      <w:r w:rsidRPr="00E170B6">
        <w:rPr>
          <w:rFonts w:asciiTheme="majorBidi" w:hAnsiTheme="majorBidi" w:cstheme="majorBidi"/>
          <w:b/>
          <w:bCs/>
          <w:sz w:val="28"/>
          <w:szCs w:val="28"/>
        </w:rPr>
        <w:t>L</w:t>
      </w:r>
      <w:r>
        <w:rPr>
          <w:rFonts w:asciiTheme="majorBidi" w:hAnsiTheme="majorBidi" w:cstheme="majorBidi"/>
          <w:b/>
          <w:bCs/>
          <w:sz w:val="28"/>
          <w:szCs w:val="28"/>
        </w:rPr>
        <w:t>ogistik</w:t>
      </w:r>
      <w:r w:rsidRPr="00E170B6">
        <w:rPr>
          <w:rFonts w:asciiTheme="majorBidi" w:hAnsiTheme="majorBidi" w:cstheme="majorBidi"/>
          <w:b/>
          <w:bCs/>
          <w:sz w:val="28"/>
          <w:szCs w:val="28"/>
        </w:rPr>
        <w:t xml:space="preserve"> </w:t>
      </w:r>
      <w:r>
        <w:rPr>
          <w:rFonts w:asciiTheme="majorBidi" w:hAnsiTheme="majorBidi" w:cstheme="majorBidi"/>
          <w:b/>
          <w:bCs/>
          <w:sz w:val="28"/>
          <w:szCs w:val="28"/>
        </w:rPr>
        <w:t>di Bursa</w:t>
      </w:r>
      <w:r w:rsidRPr="00E170B6">
        <w:rPr>
          <w:rFonts w:asciiTheme="majorBidi" w:hAnsiTheme="majorBidi" w:cstheme="majorBidi"/>
          <w:b/>
          <w:bCs/>
          <w:sz w:val="28"/>
          <w:szCs w:val="28"/>
        </w:rPr>
        <w:t xml:space="preserve"> </w:t>
      </w:r>
      <w:r>
        <w:rPr>
          <w:rFonts w:asciiTheme="majorBidi" w:hAnsiTheme="majorBidi" w:cstheme="majorBidi"/>
          <w:b/>
          <w:bCs/>
          <w:sz w:val="28"/>
          <w:szCs w:val="28"/>
        </w:rPr>
        <w:t>Efek Indonesia Periode 2020-2023</w:t>
      </w:r>
    </w:p>
    <w:p w14:paraId="6369F716" w14:textId="77777777" w:rsidR="00CF3A6F" w:rsidRDefault="00CF3A6F" w:rsidP="00CF3A6F">
      <w:pPr>
        <w:widowControl w:val="0"/>
        <w:autoSpaceDE w:val="0"/>
        <w:ind w:right="-31"/>
        <w:jc w:val="center"/>
        <w:rPr>
          <w:b/>
          <w:bCs/>
          <w:sz w:val="24"/>
          <w:szCs w:val="32"/>
          <w:lang w:val="fi-FI"/>
        </w:rPr>
      </w:pPr>
    </w:p>
    <w:p w14:paraId="7338F236" w14:textId="664CC57A" w:rsidR="00CF3A6F" w:rsidRPr="00DE70A6" w:rsidRDefault="006C66A7" w:rsidP="00154811">
      <w:pPr>
        <w:widowControl w:val="0"/>
        <w:autoSpaceDE w:val="0"/>
        <w:jc w:val="center"/>
        <w:rPr>
          <w:b/>
          <w:bCs/>
          <w:szCs w:val="32"/>
          <w:lang w:val="fi-FI"/>
        </w:rPr>
      </w:pPr>
      <w:r>
        <w:rPr>
          <w:b/>
          <w:bCs/>
          <w:szCs w:val="32"/>
          <w:lang w:val="fi-FI"/>
        </w:rPr>
        <w:t>Jihan Faradiba</w:t>
      </w:r>
      <w:r w:rsidR="00CF3A6F" w:rsidRPr="00DE70A6">
        <w:rPr>
          <w:b/>
          <w:bCs/>
          <w:szCs w:val="32"/>
          <w:vertAlign w:val="superscript"/>
          <w:lang w:val="fi-FI"/>
        </w:rPr>
        <w:t>1</w:t>
      </w:r>
      <w:r w:rsidR="00CF3A6F" w:rsidRPr="00DE70A6">
        <w:rPr>
          <w:b/>
          <w:bCs/>
          <w:szCs w:val="32"/>
          <w:lang w:val="fi-FI"/>
        </w:rPr>
        <w:t xml:space="preserve">, </w:t>
      </w:r>
      <w:r w:rsidR="003D0426">
        <w:rPr>
          <w:b/>
          <w:bCs/>
          <w:szCs w:val="32"/>
          <w:lang w:val="fi-FI"/>
        </w:rPr>
        <w:t>Irwan Raharja</w:t>
      </w:r>
      <w:r w:rsidR="00CF3A6F" w:rsidRPr="00DE70A6">
        <w:rPr>
          <w:b/>
          <w:bCs/>
          <w:szCs w:val="32"/>
          <w:vertAlign w:val="superscript"/>
          <w:lang w:val="fi-FI"/>
        </w:rPr>
        <w:t>2</w:t>
      </w:r>
    </w:p>
    <w:p w14:paraId="23354BE6" w14:textId="141EFFFE" w:rsidR="002A2510" w:rsidRDefault="002A2510" w:rsidP="002A2510">
      <w:pPr>
        <w:widowControl w:val="0"/>
        <w:autoSpaceDE w:val="0"/>
        <w:jc w:val="center"/>
        <w:rPr>
          <w:bCs/>
          <w:szCs w:val="32"/>
          <w:lang w:val="fi-FI"/>
        </w:rPr>
      </w:pPr>
      <w:r w:rsidRPr="001543FA">
        <w:rPr>
          <w:bCs/>
          <w:szCs w:val="32"/>
          <w:vertAlign w:val="superscript"/>
          <w:lang w:val="fi-FI"/>
        </w:rPr>
        <w:t>1</w:t>
      </w:r>
      <w:r w:rsidR="00B05F27">
        <w:rPr>
          <w:bCs/>
          <w:szCs w:val="32"/>
          <w:vertAlign w:val="superscript"/>
          <w:lang w:val="fi-FI"/>
        </w:rPr>
        <w:t>,2</w:t>
      </w:r>
      <w:r w:rsidR="009E1E35">
        <w:rPr>
          <w:bCs/>
          <w:szCs w:val="32"/>
          <w:vertAlign w:val="superscript"/>
          <w:lang w:val="fi-FI"/>
        </w:rPr>
        <w:t>,</w:t>
      </w:r>
      <w:r w:rsidR="003416BB">
        <w:rPr>
          <w:bCs/>
          <w:szCs w:val="32"/>
          <w:lang w:val="fi-FI"/>
        </w:rPr>
        <w:t>Universitas Bina Sarana Informatika</w:t>
      </w:r>
    </w:p>
    <w:p w14:paraId="044F6495" w14:textId="50EB9A68" w:rsidR="00142B00" w:rsidRDefault="00142B00" w:rsidP="002A2510">
      <w:pPr>
        <w:widowControl w:val="0"/>
        <w:autoSpaceDE w:val="0"/>
        <w:jc w:val="center"/>
        <w:rPr>
          <w:bCs/>
          <w:szCs w:val="32"/>
          <w:lang w:val="fi-FI"/>
        </w:rPr>
      </w:pPr>
      <w:r>
        <w:rPr>
          <w:bCs/>
          <w:szCs w:val="32"/>
          <w:lang w:val="fi-FI"/>
        </w:rPr>
        <w:t xml:space="preserve">Email: </w:t>
      </w:r>
      <w:r w:rsidRPr="00142B00">
        <w:rPr>
          <w:bCs/>
          <w:szCs w:val="32"/>
          <w:lang w:val="fi-FI"/>
        </w:rPr>
        <w:t>faradibajihan212@gmail.com</w:t>
      </w:r>
    </w:p>
    <w:p w14:paraId="6FA990FA" w14:textId="77777777" w:rsidR="002A2510" w:rsidRPr="001543FA" w:rsidRDefault="002A2510" w:rsidP="002A2510">
      <w:pPr>
        <w:widowControl w:val="0"/>
        <w:autoSpaceDE w:val="0"/>
        <w:jc w:val="center"/>
        <w:rPr>
          <w:bCs/>
          <w:szCs w:val="32"/>
          <w:lang w:val="fi-FI"/>
        </w:rPr>
      </w:pPr>
    </w:p>
    <w:p w14:paraId="61EAA3C9" w14:textId="77777777" w:rsidR="00D746AD" w:rsidRDefault="00D746AD" w:rsidP="00CF3A6F">
      <w:pPr>
        <w:widowControl w:val="0"/>
        <w:autoSpaceDE w:val="0"/>
        <w:jc w:val="center"/>
        <w:rPr>
          <w:bCs/>
          <w:szCs w:val="32"/>
          <w:lang w:val="fi-F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1701"/>
        <w:gridCol w:w="1701"/>
      </w:tblGrid>
      <w:tr w:rsidR="004D1741" w14:paraId="7349F1C8" w14:textId="77777777" w:rsidTr="00EB0170">
        <w:trPr>
          <w:jc w:val="center"/>
        </w:trPr>
        <w:tc>
          <w:tcPr>
            <w:tcW w:w="1701" w:type="dxa"/>
          </w:tcPr>
          <w:p w14:paraId="019A3CE6" w14:textId="77777777" w:rsidR="00EB0170" w:rsidRDefault="004D1741" w:rsidP="00CF3A6F">
            <w:pPr>
              <w:widowControl w:val="0"/>
              <w:autoSpaceDE w:val="0"/>
              <w:jc w:val="center"/>
              <w:rPr>
                <w:rFonts w:ascii="Times New Roman" w:hAnsi="Times New Roman"/>
                <w:bCs/>
                <w:szCs w:val="32"/>
                <w:lang w:val="fi-FI"/>
              </w:rPr>
            </w:pPr>
            <w:r w:rsidRPr="004D1741">
              <w:rPr>
                <w:rFonts w:ascii="Times New Roman" w:hAnsi="Times New Roman"/>
                <w:bCs/>
                <w:szCs w:val="32"/>
                <w:lang w:val="fi-FI"/>
              </w:rPr>
              <w:t>Diterima</w:t>
            </w:r>
            <w:r>
              <w:rPr>
                <w:rFonts w:ascii="Times New Roman" w:hAnsi="Times New Roman"/>
                <w:bCs/>
                <w:szCs w:val="32"/>
                <w:lang w:val="fi-FI"/>
              </w:rPr>
              <w:t xml:space="preserve"> </w:t>
            </w:r>
          </w:p>
          <w:p w14:paraId="151F0618" w14:textId="72AC4652" w:rsidR="004D1741" w:rsidRPr="004D1741" w:rsidRDefault="004D1741" w:rsidP="00CF3A6F">
            <w:pPr>
              <w:widowControl w:val="0"/>
              <w:autoSpaceDE w:val="0"/>
              <w:jc w:val="center"/>
              <w:rPr>
                <w:rFonts w:ascii="Times New Roman" w:hAnsi="Times New Roman"/>
                <w:bCs/>
                <w:szCs w:val="32"/>
                <w:lang w:val="fi-FI"/>
              </w:rPr>
            </w:pPr>
          </w:p>
        </w:tc>
        <w:tc>
          <w:tcPr>
            <w:tcW w:w="1701" w:type="dxa"/>
          </w:tcPr>
          <w:p w14:paraId="62398595" w14:textId="77777777" w:rsidR="00EB0170" w:rsidRDefault="004D1741" w:rsidP="00CF3A6F">
            <w:pPr>
              <w:widowControl w:val="0"/>
              <w:autoSpaceDE w:val="0"/>
              <w:jc w:val="center"/>
              <w:rPr>
                <w:rFonts w:ascii="Times New Roman" w:hAnsi="Times New Roman"/>
                <w:bCs/>
                <w:szCs w:val="32"/>
                <w:lang w:val="fi-FI"/>
              </w:rPr>
            </w:pPr>
            <w:r>
              <w:rPr>
                <w:rFonts w:ascii="Times New Roman" w:hAnsi="Times New Roman"/>
                <w:bCs/>
                <w:szCs w:val="32"/>
                <w:lang w:val="fi-FI"/>
              </w:rPr>
              <w:t xml:space="preserve">Direvisi </w:t>
            </w:r>
          </w:p>
          <w:p w14:paraId="53C699AE" w14:textId="7892A6AD" w:rsidR="004D1741" w:rsidRPr="004D1741" w:rsidRDefault="004D1741" w:rsidP="00CF3A6F">
            <w:pPr>
              <w:widowControl w:val="0"/>
              <w:autoSpaceDE w:val="0"/>
              <w:jc w:val="center"/>
              <w:rPr>
                <w:rFonts w:ascii="Times New Roman" w:hAnsi="Times New Roman"/>
                <w:bCs/>
                <w:szCs w:val="32"/>
                <w:lang w:val="fi-FI"/>
              </w:rPr>
            </w:pPr>
          </w:p>
        </w:tc>
        <w:tc>
          <w:tcPr>
            <w:tcW w:w="1701" w:type="dxa"/>
          </w:tcPr>
          <w:p w14:paraId="050283A1" w14:textId="77777777" w:rsidR="00EB0170" w:rsidRDefault="00EB0170" w:rsidP="00CF3A6F">
            <w:pPr>
              <w:widowControl w:val="0"/>
              <w:autoSpaceDE w:val="0"/>
              <w:jc w:val="center"/>
              <w:rPr>
                <w:rFonts w:ascii="Times New Roman" w:hAnsi="Times New Roman"/>
                <w:bCs/>
                <w:szCs w:val="32"/>
                <w:lang w:val="fi-FI"/>
              </w:rPr>
            </w:pPr>
            <w:r>
              <w:rPr>
                <w:rFonts w:ascii="Times New Roman" w:hAnsi="Times New Roman"/>
                <w:bCs/>
                <w:szCs w:val="32"/>
                <w:lang w:val="fi-FI"/>
              </w:rPr>
              <w:t>Disetujui</w:t>
            </w:r>
          </w:p>
          <w:p w14:paraId="4C805BAE" w14:textId="4D98F6FB" w:rsidR="004D1741" w:rsidRPr="004D1741" w:rsidRDefault="004D1741" w:rsidP="00CF3A6F">
            <w:pPr>
              <w:widowControl w:val="0"/>
              <w:autoSpaceDE w:val="0"/>
              <w:jc w:val="center"/>
              <w:rPr>
                <w:rFonts w:ascii="Times New Roman" w:hAnsi="Times New Roman"/>
                <w:bCs/>
                <w:szCs w:val="32"/>
                <w:lang w:val="fi-FI"/>
              </w:rPr>
            </w:pPr>
          </w:p>
        </w:tc>
      </w:tr>
    </w:tbl>
    <w:p w14:paraId="76CD821C" w14:textId="77777777" w:rsidR="004D1741" w:rsidRDefault="004D1741" w:rsidP="00CF3A6F">
      <w:pPr>
        <w:widowControl w:val="0"/>
        <w:autoSpaceDE w:val="0"/>
        <w:jc w:val="center"/>
        <w:rPr>
          <w:bCs/>
          <w:szCs w:val="32"/>
          <w:lang w:val="fi-FI"/>
        </w:rPr>
      </w:pPr>
    </w:p>
    <w:p w14:paraId="45056123" w14:textId="77777777" w:rsidR="00B27765" w:rsidRDefault="00B27765" w:rsidP="00F932A7">
      <w:pPr>
        <w:rPr>
          <w:b/>
          <w:lang w:val="sv-SE"/>
        </w:rPr>
      </w:pPr>
    </w:p>
    <w:p w14:paraId="17B306E6" w14:textId="77777777" w:rsidR="00491196" w:rsidRPr="00491196" w:rsidRDefault="00B27765" w:rsidP="00491196">
      <w:pPr>
        <w:ind w:firstLine="851"/>
        <w:rPr>
          <w:rFonts w:asciiTheme="majorBidi" w:hAnsiTheme="majorBidi" w:cstheme="majorBidi"/>
        </w:rPr>
      </w:pPr>
      <w:r>
        <w:rPr>
          <w:b/>
          <w:lang w:val="sv-SE"/>
        </w:rPr>
        <w:t>Abstrak</w:t>
      </w:r>
      <w:r w:rsidR="00F932A7" w:rsidRPr="00B27765">
        <w:rPr>
          <w:lang w:val="sv-SE"/>
        </w:rPr>
        <w:t xml:space="preserve">  - </w:t>
      </w:r>
      <w:r w:rsidR="00491196" w:rsidRPr="00491196">
        <w:rPr>
          <w:rFonts w:asciiTheme="majorBidi" w:hAnsiTheme="majorBidi" w:cstheme="majorBidi"/>
        </w:rPr>
        <w:t xml:space="preserve">Penelitian ini bertujuan untuk menganalisis pengaruh </w:t>
      </w:r>
      <w:r w:rsidR="00491196" w:rsidRPr="00491196">
        <w:rPr>
          <w:rFonts w:asciiTheme="majorBidi" w:hAnsiTheme="majorBidi" w:cstheme="majorBidi"/>
          <w:i/>
          <w:iCs/>
        </w:rPr>
        <w:t>Return On Assets</w:t>
      </w:r>
      <w:r w:rsidR="00491196" w:rsidRPr="00491196">
        <w:rPr>
          <w:rFonts w:asciiTheme="majorBidi" w:hAnsiTheme="majorBidi" w:cstheme="majorBidi"/>
        </w:rPr>
        <w:t xml:space="preserve"> (ROA) dan </w:t>
      </w:r>
      <w:r w:rsidR="00491196" w:rsidRPr="00491196">
        <w:rPr>
          <w:rFonts w:asciiTheme="majorBidi" w:hAnsiTheme="majorBidi" w:cstheme="majorBidi"/>
          <w:i/>
          <w:iCs/>
        </w:rPr>
        <w:t>Debt to Equity Ratio</w:t>
      </w:r>
      <w:r w:rsidR="00491196" w:rsidRPr="00491196">
        <w:rPr>
          <w:rFonts w:asciiTheme="majorBidi" w:hAnsiTheme="majorBidi" w:cstheme="majorBidi"/>
        </w:rPr>
        <w:t xml:space="preserve"> (DER) terhadap harga saham perusahaan sub sektor transportasi dan logistik yang terdaftar di Bursa Efek Indonesia (BEI) periode 2020-2023. Latar belakang penelitian ini adalah pentingnya kinerja keuangan dan struktur modal dalam menentukan nilai perusahaan di pasar saham. Data yang digunakan adalah laporan keuangan tahunan perusahaan, dan metode analisis yang digunakan adalah regresi linier berganda. Hasil penelitian menunjukkan bahwa ROA dan DER secara simultan berpengaruh signifikan terhadap harga saham (F hitung = 586.797; sig = 0,000). Secara parsial, ROA memiliki pengaruh positif dan signifikan (t hitung = 6,776; sig = 0,000), sementara DER berpengaruh negatif namun signifikan (t hitung = 10.074; sig = 0,000). Temuan ini mengindikasikan bahwa kinerja keuangan yang diukur melalui ROA dan struktur modal yang diukur melalui DER adalah faktor penting yang mempengaruhi harga saham di sektor ini.</w:t>
      </w:r>
    </w:p>
    <w:p w14:paraId="267A5886" w14:textId="4A1C74D4" w:rsidR="00F932A7" w:rsidRPr="00B27765" w:rsidRDefault="00F932A7" w:rsidP="00F932A7"/>
    <w:p w14:paraId="3EA2C4F4" w14:textId="288E9A70" w:rsidR="00F932A7" w:rsidRDefault="00B05F27" w:rsidP="00F932A7">
      <w:pPr>
        <w:rPr>
          <w:bCs/>
          <w:lang w:val="en-ID"/>
        </w:rPr>
      </w:pPr>
      <w:r>
        <w:rPr>
          <w:lang w:val="fr-FR"/>
        </w:rPr>
        <w:t>Kata Kunci</w:t>
      </w:r>
      <w:r w:rsidR="00F932A7" w:rsidRPr="00B27765">
        <w:rPr>
          <w:lang w:val="fr-FR"/>
        </w:rPr>
        <w:t xml:space="preserve">: </w:t>
      </w:r>
      <w:r w:rsidR="006C66A7" w:rsidRPr="006C66A7">
        <w:rPr>
          <w:bCs/>
        </w:rPr>
        <w:t>Return On Assets, Debt to Equity Ratio, Harga Saham, Transportasi dan Logistik, Bursa Efek Indonesia</w:t>
      </w:r>
    </w:p>
    <w:p w14:paraId="6A1792AA" w14:textId="25626265" w:rsidR="00A817CF" w:rsidRDefault="00A817CF" w:rsidP="00F932A7">
      <w:pPr>
        <w:rPr>
          <w:bCs/>
          <w:lang w:val="en-ID"/>
        </w:rPr>
      </w:pPr>
    </w:p>
    <w:p w14:paraId="2D7EC64C" w14:textId="77777777" w:rsidR="00491196" w:rsidRPr="00491196" w:rsidRDefault="00A817CF" w:rsidP="00491196">
      <w:pPr>
        <w:ind w:firstLine="851"/>
        <w:rPr>
          <w:rFonts w:asciiTheme="majorBidi" w:hAnsiTheme="majorBidi" w:cstheme="majorBidi"/>
        </w:rPr>
      </w:pPr>
      <w:r>
        <w:rPr>
          <w:b/>
          <w:lang w:val="sv-SE"/>
        </w:rPr>
        <w:t>Abstract</w:t>
      </w:r>
      <w:r w:rsidRPr="00B27765">
        <w:rPr>
          <w:lang w:val="sv-SE"/>
        </w:rPr>
        <w:t xml:space="preserve">  - </w:t>
      </w:r>
      <w:r w:rsidR="00491196" w:rsidRPr="00491196">
        <w:rPr>
          <w:rFonts w:asciiTheme="majorBidi" w:hAnsiTheme="majorBidi" w:cstheme="majorBidi"/>
        </w:rPr>
        <w:t>This study aims to analyze the effect of Return On Assets (ROA) and Debt to Equity Ratio (DER) on the share price of transportation and logistics sub-sector companies listed on the Indonesia Stock Exchange (IDX) for the period 2020-2023. The background of this study is the importance of financial performance and capital structure in determining the value of companies in the stock market. The data used is the company's annual financial statements, and the analysis method used is multiple linear regression. The results showed that ROA and DER simultaneously have a significant effect on stock prices (F count = 586,797; sig = 0.000). Partially, ROA has a positive and significant effect (t count = 6.776; sig = 0.000), while DER has a negative but significant effect (t count = 10.074; sig = 0.000). These findings indicate that financial performance as measured by ROA and capital structure as measured by DER are important factors affecting stock prices in this sector.</w:t>
      </w:r>
    </w:p>
    <w:p w14:paraId="4A657FFA" w14:textId="738A236E" w:rsidR="00A817CF" w:rsidRPr="00491196" w:rsidRDefault="00A817CF" w:rsidP="00A817CF">
      <w:pPr>
        <w:rPr>
          <w:lang w:val="fr-FR"/>
        </w:rPr>
      </w:pPr>
      <w:r w:rsidRPr="00491196">
        <w:rPr>
          <w:lang w:val="fr-FR"/>
        </w:rPr>
        <w:t xml:space="preserve">Keywords: </w:t>
      </w:r>
      <w:r w:rsidR="006C66A7" w:rsidRPr="00491196">
        <w:rPr>
          <w:bCs/>
        </w:rPr>
        <w:t>Return On Assets, Debt to Equity Ratio, Stock Price, Transportation and Logistics, Indonesia Stock Exchange</w:t>
      </w:r>
    </w:p>
    <w:p w14:paraId="056A87EE" w14:textId="77777777" w:rsidR="006B0D70" w:rsidRDefault="006B0D70" w:rsidP="00C117C5">
      <w:pPr>
        <w:rPr>
          <w:b/>
          <w:i/>
          <w:lang w:val="sv-SE"/>
        </w:rPr>
      </w:pPr>
    </w:p>
    <w:p w14:paraId="62ED6D48" w14:textId="77777777" w:rsidR="008E339C" w:rsidRDefault="008E339C" w:rsidP="00CF3A6F">
      <w:pPr>
        <w:widowControl w:val="0"/>
        <w:autoSpaceDE w:val="0"/>
        <w:ind w:right="-1"/>
        <w:rPr>
          <w:b/>
          <w:bCs/>
          <w:lang w:val="sv-SE"/>
        </w:rPr>
      </w:pPr>
    </w:p>
    <w:p w14:paraId="4986495C" w14:textId="77777777" w:rsidR="00CF3A6F" w:rsidRDefault="00CF3A6F" w:rsidP="00CF3A6F">
      <w:pPr>
        <w:widowControl w:val="0"/>
        <w:autoSpaceDE w:val="0"/>
        <w:ind w:right="-1"/>
        <w:rPr>
          <w:b/>
          <w:bCs/>
          <w:lang w:val="sv-SE"/>
        </w:rPr>
        <w:sectPr w:rsidR="00CF3A6F" w:rsidSect="00C77C9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1701" w:right="1134" w:bottom="1134" w:left="1701" w:header="567" w:footer="720" w:gutter="0"/>
          <w:cols w:space="461"/>
          <w:titlePg/>
          <w:docGrid w:linePitch="272"/>
        </w:sectPr>
      </w:pPr>
    </w:p>
    <w:p w14:paraId="3FB91EF8" w14:textId="77777777" w:rsidR="00CF3A6F" w:rsidRDefault="00CF3A6F" w:rsidP="00CF3A6F">
      <w:pPr>
        <w:widowControl w:val="0"/>
        <w:autoSpaceDE w:val="0"/>
        <w:ind w:right="-1"/>
        <w:rPr>
          <w:b/>
          <w:bCs/>
          <w:w w:val="104"/>
          <w:lang w:val="sv-SE"/>
        </w:rPr>
      </w:pPr>
      <w:r>
        <w:rPr>
          <w:b/>
          <w:bCs/>
          <w:spacing w:val="1"/>
          <w:w w:val="104"/>
          <w:lang w:val="sv-SE"/>
        </w:rPr>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14:paraId="13AB6034" w14:textId="77777777" w:rsidR="003416BB" w:rsidRDefault="003416BB" w:rsidP="003416BB">
      <w:pPr>
        <w:ind w:firstLine="567"/>
        <w:rPr>
          <w:lang w:val="en-ID"/>
        </w:rPr>
      </w:pPr>
    </w:p>
    <w:p w14:paraId="5741A132" w14:textId="77777777" w:rsidR="006C66A7" w:rsidRPr="006C66A7" w:rsidRDefault="006C66A7" w:rsidP="006C66A7">
      <w:pPr>
        <w:widowControl w:val="0"/>
        <w:autoSpaceDE w:val="0"/>
        <w:spacing w:before="4" w:line="220" w:lineRule="exact"/>
        <w:ind w:firstLine="567"/>
      </w:pPr>
      <w:r w:rsidRPr="006C66A7">
        <w:t>Bursa efek serta industri pada sekuritas dipahami dalam peningkatan ekonomi suatu Negara tersebut. Pasar modal memiliki peran yang signifikan sebagai instrumen keuangan yang memfasilitasi investasi dalam konteks ekonomi. Saham perusahaan publik, yang merupakan salah satu bentuk investasi berisiko tinggi, rentan terhadap fluktuasi yang dapat disebabkan faktor faktor perubahan internal ataupun eksternal suatu negeri, seperti perubahan politik, ekonomi, dan kebijakan moneter. Fluktuasi ini bisa mengakibatkan peningkatan pasar ekuitas yang baik atau penurunan yang buruk (Bulotoding et al,.2018)</w:t>
      </w:r>
    </w:p>
    <w:p w14:paraId="0BD1EF4E" w14:textId="77777777" w:rsidR="006C66A7" w:rsidRPr="006C66A7" w:rsidRDefault="006C66A7" w:rsidP="006C66A7">
      <w:pPr>
        <w:widowControl w:val="0"/>
        <w:autoSpaceDE w:val="0"/>
        <w:spacing w:before="4" w:line="220" w:lineRule="exact"/>
        <w:ind w:firstLine="567"/>
      </w:pPr>
      <w:r w:rsidRPr="006C66A7">
        <w:t xml:space="preserve">Pasar ekuitas berperan penting pada efisien system keuangan dan ekonomi modern Negara. Sebagai sumber dana alternate, pasar modal mendukung kemajuan ekonomi dengan diatur oleh Bursa Efek Indonesia (BEI) untuk memfasilitasi </w:t>
      </w:r>
      <w:r w:rsidRPr="006C66A7">
        <w:t>pertemuan pembeli dengan perusahaan (Yusuf didalam Ramadhan, 2021).</w:t>
      </w:r>
    </w:p>
    <w:p w14:paraId="0FD64BA5" w14:textId="77777777" w:rsidR="006C66A7" w:rsidRPr="006C66A7" w:rsidRDefault="006C66A7" w:rsidP="006C66A7">
      <w:pPr>
        <w:widowControl w:val="0"/>
        <w:autoSpaceDE w:val="0"/>
        <w:spacing w:before="4" w:line="220" w:lineRule="exact"/>
        <w:ind w:firstLine="567"/>
      </w:pPr>
      <w:r w:rsidRPr="006C66A7">
        <w:t xml:space="preserve">Indikator utama pembeli dalam mempertimbangkan memilih perusahaan saat berinvestasi menurut Ramadhan dan Nursito (2021) adalah kinerja atau keadaan keuangan suatu perusahaan. Semakin baik kinerja di perlihatkan perusahaan berpengaruh juga pada pendapatan dan keuntungan yang dapat dinikmati oleh investor atau pemodal. Performa yang postif diperlihatkan oleh perusahaan akan mendapatkan keyakinan dari pasar dikarenakan memiliki pengakuan positif, sehingga berimbas pada nilai perusahaan yang baik. Karena alasan tersebut, ketertarikan penanam modal menginvestasikan dana pada entintas bisnis kemudian dapat menyebabkan kenaikan suatu harga. Diantara contoh peristiwa ini terjadi pada industri transportasi &amp; Logistik. </w:t>
      </w:r>
    </w:p>
    <w:p w14:paraId="2B20B749" w14:textId="77777777" w:rsidR="006C66A7" w:rsidRPr="006C66A7" w:rsidRDefault="006C66A7" w:rsidP="006C66A7">
      <w:pPr>
        <w:widowControl w:val="0"/>
        <w:autoSpaceDE w:val="0"/>
        <w:spacing w:before="4" w:line="220" w:lineRule="exact"/>
        <w:ind w:firstLine="567"/>
      </w:pPr>
      <w:r w:rsidRPr="006C66A7">
        <w:t xml:space="preserve">Covid-19 yang melanda Indonesia pada tahun </w:t>
      </w:r>
      <w:r w:rsidRPr="006C66A7">
        <w:lastRenderedPageBreak/>
        <w:t>2020, berdampak besar pada seluruh sektor pasar modal. Peristiwa tersebut memicu respon pasar yag terlihat dari perubahan harga serta volume perdagangan saham, hal tersebut sebagai bentuk tanggapan terhadap peristiwa yang dapat mempengaruhi nilai perusahaan. Namun, respon positif justru terjadi pada saham sektor transportasi dan logistic berdasarkan klasifikasi IDZ-IC di indeks Bursa Efek Indonesia (BPS, 2021).</w:t>
      </w:r>
    </w:p>
    <w:p w14:paraId="212423CB" w14:textId="77777777" w:rsidR="006C66A7" w:rsidRPr="006C66A7" w:rsidRDefault="006C66A7" w:rsidP="006C66A7">
      <w:pPr>
        <w:widowControl w:val="0"/>
        <w:autoSpaceDE w:val="0"/>
        <w:spacing w:before="4" w:line="220" w:lineRule="exact"/>
        <w:ind w:firstLine="567"/>
      </w:pPr>
      <w:r w:rsidRPr="006C66A7">
        <w:t>Pelonjakan tertinggi pada Sektor transportasi dan logistik pertengahan tahun 2021 sebesar 213%,. Ricardianto (2021) menyoroti kompleksitas tantangan yang dihadapi sektor ini akibat kebijakan pemerintah terkait COVID-19. Rahmawati dan Jalaluddin (2022) mencatat penurunan signifikan nilai pasar ekuitas sektor ini setelah kasus COVID-19. Namun, Margono et al. (2022) menunjukkan bahwa dengan manajemen aset yang tepat, saham sektor ini dapat memberikan keuntungan optimal selama pandemi. Pencabutan PPKM pada Desember 2022 memberikan peluang signifikan bagi sektor ini, dengan Saraung (2023) mencatat pertumbuhan pengembalian saham pada April 2023. Pratiwi (2023) meneliti kinerja sektor ini selama Idul Fitri, menunjukkan kinerja optimal pada periode Ramadhan. Studi ini bertujuan untuk mengeksplorasi kinerja sektor transportasi dan logistik selama hari raya keagamaan, khususnya Idul Fitri.</w:t>
      </w:r>
    </w:p>
    <w:p w14:paraId="027DE609" w14:textId="77777777" w:rsidR="006C66A7" w:rsidRPr="006C66A7" w:rsidRDefault="006C66A7" w:rsidP="006C66A7">
      <w:pPr>
        <w:widowControl w:val="0"/>
        <w:autoSpaceDE w:val="0"/>
        <w:spacing w:before="4" w:line="220" w:lineRule="exact"/>
        <w:ind w:firstLine="567"/>
      </w:pPr>
      <w:r w:rsidRPr="006C66A7">
        <w:t xml:space="preserve">Industri transportasi &amp; logistik di Indonesia mengalami pertumbuhan yang signifikan dalam beberapa tahun terakhir, terutama didorong oleh perkembangan teknologi dan kebutuhan masyarakat akan layanan transportasi yang efisien. Di sisi lain, pasar modal Indonesia, khususnya Bursa Efek Indonesia (BEI), menjadi salah satu tempat utama bagi perusahaan-perusahaan di sektor ini untuk mendapatkan dana dan mengembangkan bisnisnya. Namun, kurs ekuitas perusahaan-perusahaan di sub sektor transportasi &amp; logistik di BEI dipengaruhi oleh berbagai faktor, termasuk laba atas aset dan perbandingan utang dan modal. </w:t>
      </w:r>
    </w:p>
    <w:p w14:paraId="32EE9F18" w14:textId="77777777" w:rsidR="006C66A7" w:rsidRPr="006C66A7" w:rsidRDefault="006C66A7" w:rsidP="006C66A7">
      <w:pPr>
        <w:widowControl w:val="0"/>
        <w:autoSpaceDE w:val="0"/>
        <w:spacing w:before="4" w:line="220" w:lineRule="exact"/>
        <w:ind w:firstLine="567"/>
      </w:pPr>
      <w:r w:rsidRPr="006C66A7">
        <w:t>Menurut Jogiyanto harga saham dapat ditentukkan melalui bagaimana pelaku pasar dalam kebutuhan dan penyediaan yang terlibat dalam saham maupun bursa efek jogiyan (Jogiyanto, 2017). Perubahan yang terjadi pada pasar ekuitas perlu dibahas dikarenakan nilai pasar ekuitas di bursa tidak bergantung pada faktor pasar. Nilai pasar ekuitas juga mencerminkan kondisi dan kinerja perusahaan serta dapat menjadi indikaor penting bagi persepsi masyarakat terhadap perusahaan.</w:t>
      </w:r>
    </w:p>
    <w:p w14:paraId="075A1B90" w14:textId="77777777" w:rsidR="006C66A7" w:rsidRPr="006C66A7" w:rsidRDefault="006C66A7" w:rsidP="006C66A7">
      <w:pPr>
        <w:widowControl w:val="0"/>
        <w:autoSpaceDE w:val="0"/>
        <w:spacing w:before="4" w:line="220" w:lineRule="exact"/>
        <w:ind w:firstLine="567"/>
      </w:pPr>
      <w:r w:rsidRPr="006C66A7">
        <w:t xml:space="preserve">Darmaji dan Fakhrudin (2018), pelaku usaha perlu memantau nilai pasar ekuitas mereka karena harga penutupan saham dalam pasar saham rentang waktu tertentu dapat berdampak investor dan pemilik dana. </w:t>
      </w:r>
    </w:p>
    <w:p w14:paraId="26E02481" w14:textId="77777777" w:rsidR="006C66A7" w:rsidRPr="006C66A7" w:rsidRDefault="006C66A7" w:rsidP="006C66A7">
      <w:pPr>
        <w:widowControl w:val="0"/>
        <w:autoSpaceDE w:val="0"/>
        <w:spacing w:before="4" w:line="220" w:lineRule="exact"/>
        <w:ind w:firstLine="567"/>
      </w:pPr>
      <w:r w:rsidRPr="006C66A7">
        <w:t xml:space="preserve">Salah satu elemen yang mempengaruhi nilai pasar ekuitas adalah hasil atas aset (ROA). ROA mengindikasikan kemampuan suatu perusahaan dalam menghasilkan laba setelah pajak dengan menggunakan semua aktiva yang dimilikinya. Rasio ini memberikan gambaran yang berguna bagi orang yang ingin menilai seberapa efektif perusahaan dalam </w:t>
      </w:r>
      <w:r w:rsidRPr="006C66A7">
        <w:t>memanfaatkan asetnya. (Nuzul, 2016: 216). Transformasi kapitalisasi saham berdampak pada elemen, dalam memahami dampak dari perubahan nilai pasar ekuitas, perlu dilakukannya pengamatan terhadap hasil atas saham dan rasio oinjaman dan ekuitas dalam pengetahuan terhadap dampak nilai pasar ekuitas suatu perusahaan (Janah et al., 2023).</w:t>
      </w:r>
    </w:p>
    <w:p w14:paraId="7FE51D62" w14:textId="77777777" w:rsidR="006C66A7" w:rsidRPr="006C66A7" w:rsidRDefault="006C66A7" w:rsidP="006C66A7">
      <w:pPr>
        <w:widowControl w:val="0"/>
        <w:autoSpaceDE w:val="0"/>
        <w:spacing w:before="4" w:line="220" w:lineRule="exact"/>
        <w:ind w:firstLine="567"/>
      </w:pPr>
      <w:r w:rsidRPr="006C66A7">
        <w:t>Studi sebelumnya menunjukkan bahwa rasio utang dan ekuitas mempengaruhi return saham (Aryaningsih et al., 2018; Hasanudin, 2022). Namun, penelitian lain menemukan bahwa dampaknya tidak signifikan (Hakim &amp; Abbas, 2019; Indra Widjaja, 2019; Pandaya et al., 2020).</w:t>
      </w:r>
    </w:p>
    <w:p w14:paraId="4666D2A7" w14:textId="77777777" w:rsidR="006C66A7" w:rsidRPr="006C66A7" w:rsidRDefault="006C66A7" w:rsidP="006C66A7">
      <w:pPr>
        <w:widowControl w:val="0"/>
        <w:autoSpaceDE w:val="0"/>
        <w:spacing w:before="4" w:line="220" w:lineRule="exact"/>
        <w:ind w:firstLine="567"/>
      </w:pPr>
      <w:r w:rsidRPr="006C66A7">
        <w:t>Anwar (2021) menunjukkan bahwa return on assets (ROA) memengaruhi nilai pasar ekuitas, sementara Mufarikhah dan Amitha (2019) menyatakan sebaliknya, bahwa ROA tidak berdampak pada nilai pasar ekuitas. Menurut Neni Nur’aeni dan Gusganda Suriar (2021) serta Nardi Sunardi (2019), ROA memiliki dampak pada nilai pasar ekuitas. Namun, penelitian yang dilakukan oleh Nurlia dan Juwari (2019), serta Andi Aspar (2018), menunjukkan bahwa ROA tidak berpengaruh pada nilai pasar ekuitas.</w:t>
      </w:r>
    </w:p>
    <w:p w14:paraId="71AC2423" w14:textId="77777777" w:rsidR="006C66A7" w:rsidRPr="006C66A7" w:rsidRDefault="006C66A7" w:rsidP="006C66A7">
      <w:pPr>
        <w:widowControl w:val="0"/>
        <w:autoSpaceDE w:val="0"/>
        <w:spacing w:before="4" w:line="220" w:lineRule="exact"/>
        <w:ind w:firstLine="567"/>
      </w:pPr>
      <w:r w:rsidRPr="006C66A7">
        <w:t>Dari temuan tulisan dapat disimpulkan bahwa ada perbedaan hasil diantara temuan hasil tulisan yang terdahulu berbeda, baik mengenai hubungan diantara debt to equity dengan return saham maupun ROA dengan harga saham. Hal ini menunjukkan kompleksitas dan keragaman faktor-faktor yang memengaruhi pasar keuangan, dan pentingnya untuk mempertimbangkan konteks dan metodologi penelitian dalam mengambil kesimpulan terkait hubungan ini.</w:t>
      </w:r>
    </w:p>
    <w:p w14:paraId="27A8B4D7" w14:textId="73F339E3" w:rsidR="003416BB" w:rsidRPr="003416BB" w:rsidRDefault="006C66A7" w:rsidP="006C66A7">
      <w:pPr>
        <w:widowControl w:val="0"/>
        <w:autoSpaceDE w:val="0"/>
        <w:spacing w:before="4" w:line="220" w:lineRule="exact"/>
        <w:ind w:firstLine="567"/>
        <w:rPr>
          <w:lang w:val="en-ID"/>
        </w:rPr>
      </w:pPr>
      <w:r w:rsidRPr="006C66A7">
        <w:t>Meskipun ROA dan DER telah diakui pentingnya dalam analisis keuangan perusahaan, masih terdapat kebutuhan untuk memahami secara lebih mendalam bagaimana kedua variabel ini secara khusus berdampak pada nilai pasar ekuitas perusahaan di industri transportasi &amp; logistik di BEI.</w:t>
      </w:r>
      <w:r w:rsidR="003416BB" w:rsidRPr="003416BB">
        <w:rPr>
          <w:lang w:val="en-ID"/>
        </w:rPr>
        <w:t xml:space="preserve"> </w:t>
      </w:r>
    </w:p>
    <w:p w14:paraId="603E04ED" w14:textId="1351C30E" w:rsidR="00CF3A6F" w:rsidRPr="008F40F7" w:rsidRDefault="003416BB" w:rsidP="004D1741">
      <w:pPr>
        <w:widowControl w:val="0"/>
        <w:autoSpaceDE w:val="0"/>
        <w:spacing w:before="4" w:line="220" w:lineRule="exact"/>
        <w:ind w:firstLine="567"/>
        <w:rPr>
          <w:b/>
        </w:rPr>
      </w:pPr>
      <w:r>
        <w:t xml:space="preserve"> </w:t>
      </w:r>
    </w:p>
    <w:p w14:paraId="5A6B79DC" w14:textId="4EF8D377" w:rsidR="00BC6B0E" w:rsidRPr="00BC6B0E" w:rsidRDefault="00BC6B0E" w:rsidP="005C6CE3">
      <w:pPr>
        <w:pStyle w:val="ListParagraph"/>
        <w:widowControl w:val="0"/>
        <w:numPr>
          <w:ilvl w:val="0"/>
          <w:numId w:val="11"/>
        </w:numPr>
        <w:autoSpaceDE w:val="0"/>
        <w:spacing w:after="0"/>
        <w:ind w:right="-1"/>
        <w:rPr>
          <w:rFonts w:ascii="Times New Roman" w:hAnsi="Times New Roman"/>
          <w:b/>
          <w:spacing w:val="-1"/>
          <w:sz w:val="20"/>
          <w:szCs w:val="20"/>
          <w:lang w:val="id-ID"/>
        </w:rPr>
      </w:pPr>
      <w:r>
        <w:rPr>
          <w:rFonts w:ascii="Times New Roman" w:hAnsi="Times New Roman"/>
          <w:b/>
          <w:spacing w:val="-1"/>
          <w:sz w:val="20"/>
          <w:szCs w:val="20"/>
        </w:rPr>
        <w:t>Harga Saham</w:t>
      </w:r>
    </w:p>
    <w:p w14:paraId="04825647" w14:textId="2A40CD63" w:rsidR="00BC6B0E" w:rsidRDefault="00BC6B0E" w:rsidP="00BC6B0E">
      <w:pPr>
        <w:widowControl w:val="0"/>
        <w:autoSpaceDE w:val="0"/>
        <w:ind w:right="-1" w:firstLine="567"/>
        <w:rPr>
          <w:bCs/>
          <w:spacing w:val="-1"/>
        </w:rPr>
      </w:pPr>
      <w:r w:rsidRPr="00BC6B0E">
        <w:rPr>
          <w:bCs/>
          <w:spacing w:val="-1"/>
        </w:rPr>
        <w:t xml:space="preserve">Harga saham adalah indikator penting dalam manajemen perusahaan karena mencerminkan nilai pasar ekuitas dan kinerja perusahaan. Kenaikan harga saham menguntungkan pemilik saham, memperkuat citra perusahaan, dan meningkatkan kepercayaan investor, memudahkan akses dana eksternal. Harga saham, tercermin pada closing price, fluktuatif mengikuti permintaan pasar. Meski bervariasi dalam jangka pendek, kualitas fundamental perusahaan tercermin dalam konsistensi harga jangka panjang (Brigham et al., 2018). Perubahan harga dipengaruhi harapan investor, kinerja keuangan, dan permintaan-penawaran perusahaan. Peningkatan harga saham sering dianggap indikator keberhasilan manajemen (Oktianto, 2017:155). Ketidakstabilan harga menjadi tantangan bagi investor, membuat mereka lebih berhati-hati dalam berinvestasi (Moorcy, 2018). </w:t>
      </w:r>
    </w:p>
    <w:p w14:paraId="1314104E" w14:textId="77777777" w:rsidR="003D0426" w:rsidRPr="00BC6B0E" w:rsidRDefault="003D0426" w:rsidP="00BC6B0E">
      <w:pPr>
        <w:widowControl w:val="0"/>
        <w:autoSpaceDE w:val="0"/>
        <w:ind w:right="-1" w:firstLine="567"/>
        <w:rPr>
          <w:bCs/>
          <w:spacing w:val="-1"/>
          <w:lang w:val="id-ID"/>
        </w:rPr>
      </w:pPr>
    </w:p>
    <w:p w14:paraId="01749C00" w14:textId="597436E9" w:rsidR="00666FE2" w:rsidRPr="005C6CE3" w:rsidRDefault="005C6CE3" w:rsidP="005C6CE3">
      <w:pPr>
        <w:pStyle w:val="ListParagraph"/>
        <w:widowControl w:val="0"/>
        <w:numPr>
          <w:ilvl w:val="0"/>
          <w:numId w:val="11"/>
        </w:numPr>
        <w:autoSpaceDE w:val="0"/>
        <w:spacing w:after="0"/>
        <w:ind w:right="-1"/>
        <w:rPr>
          <w:rFonts w:ascii="Times New Roman" w:hAnsi="Times New Roman"/>
          <w:b/>
          <w:spacing w:val="-1"/>
          <w:sz w:val="20"/>
          <w:szCs w:val="20"/>
          <w:lang w:val="id-ID"/>
        </w:rPr>
      </w:pPr>
      <w:r w:rsidRPr="005C6CE3">
        <w:rPr>
          <w:rFonts w:ascii="Times New Roman" w:hAnsi="Times New Roman"/>
          <w:b/>
          <w:spacing w:val="-1"/>
          <w:sz w:val="20"/>
          <w:szCs w:val="20"/>
        </w:rPr>
        <w:t>Return on Asset</w:t>
      </w:r>
    </w:p>
    <w:p w14:paraId="37FEB487" w14:textId="47EAA379" w:rsidR="005C6CE3" w:rsidRDefault="00BC6B0E" w:rsidP="005C6CE3">
      <w:pPr>
        <w:widowControl w:val="0"/>
        <w:autoSpaceDE w:val="0"/>
        <w:ind w:right="-1" w:firstLine="567"/>
        <w:rPr>
          <w:bCs/>
          <w:spacing w:val="-1"/>
          <w:lang w:val="en-GB"/>
        </w:rPr>
      </w:pPr>
      <w:r w:rsidRPr="00BC6B0E">
        <w:rPr>
          <w:bCs/>
          <w:spacing w:val="-1"/>
        </w:rPr>
        <w:t xml:space="preserve">Profitabilitas menilai efektivitas perusahaan </w:t>
      </w:r>
      <w:r w:rsidRPr="00BC6B0E">
        <w:rPr>
          <w:bCs/>
          <w:spacing w:val="-1"/>
        </w:rPr>
        <w:lastRenderedPageBreak/>
        <w:t>dalam menghasilkan keuntungan dari sumber daya seperti aktiva, modal, dan penjualan. Return on Assets (ROA) mengukur kapabilitas bisnis dalam menghasilkan pendapatan dari total aktiva. ROA yang tinggi menunjukkan kinerja perusahaan yang positif dan meningkatkan minat investor serta nilai perusahaan (Roni et al., 2019; Febrianti, 2018; Priliyastuti, 2017 dalam Veny, 2019). ROA mencerminkan efisiensi dan kapabilitas perusahaan dalam menggunakan asetnya untuk menghasilkan keuntungan, mempengaruhi kualitas keuangan dan return saham perusahaan. Dengan demikian, efisiensi manajemen aset dapat diidentifikasi melalui perhitungan rasio ROA.</w:t>
      </w:r>
    </w:p>
    <w:p w14:paraId="35F54AC4" w14:textId="77777777" w:rsidR="005C6CE3" w:rsidRPr="005C6CE3" w:rsidRDefault="005C6CE3" w:rsidP="005C6CE3">
      <w:pPr>
        <w:widowControl w:val="0"/>
        <w:autoSpaceDE w:val="0"/>
        <w:ind w:right="-1" w:firstLine="567"/>
        <w:rPr>
          <w:bCs/>
          <w:spacing w:val="-1"/>
          <w:lang w:val="id-ID"/>
        </w:rPr>
      </w:pPr>
    </w:p>
    <w:p w14:paraId="32546F4C" w14:textId="4359F590" w:rsidR="005C6CE3" w:rsidRPr="005C6CE3" w:rsidRDefault="00BC6B0E" w:rsidP="005C6CE3">
      <w:pPr>
        <w:pStyle w:val="ListParagraph"/>
        <w:widowControl w:val="0"/>
        <w:numPr>
          <w:ilvl w:val="0"/>
          <w:numId w:val="11"/>
        </w:numPr>
        <w:autoSpaceDE w:val="0"/>
        <w:spacing w:after="0"/>
        <w:ind w:right="-1"/>
        <w:rPr>
          <w:rFonts w:ascii="Times New Roman" w:hAnsi="Times New Roman"/>
          <w:b/>
          <w:spacing w:val="-1"/>
          <w:sz w:val="20"/>
          <w:szCs w:val="20"/>
          <w:lang w:val="id-ID"/>
        </w:rPr>
      </w:pPr>
      <w:r>
        <w:rPr>
          <w:rFonts w:ascii="Times New Roman" w:hAnsi="Times New Roman"/>
          <w:b/>
          <w:spacing w:val="-1"/>
          <w:sz w:val="20"/>
          <w:szCs w:val="20"/>
        </w:rPr>
        <w:t>Debt to Equity Ratio (DER)</w:t>
      </w:r>
    </w:p>
    <w:p w14:paraId="70290E5D" w14:textId="2B4AC913" w:rsidR="005C6CE3" w:rsidRDefault="00BC6B0E" w:rsidP="005C6CE3">
      <w:pPr>
        <w:widowControl w:val="0"/>
        <w:autoSpaceDE w:val="0"/>
        <w:ind w:right="-1" w:firstLine="567"/>
        <w:rPr>
          <w:bCs/>
          <w:spacing w:val="-1"/>
          <w:lang w:val="id-ID"/>
        </w:rPr>
      </w:pPr>
      <w:r w:rsidRPr="00BC6B0E">
        <w:rPr>
          <w:bCs/>
          <w:spacing w:val="-1"/>
        </w:rPr>
        <w:t>Leverage menggambarkan sejauh mana bisnis mengandalkan pinjaman untuk menghasilkan keuntungan yang melebihi biaya bunga, diukur dengan membandingkan total pinjaman dengan ekuitas. Tingkat leverage menunjukkan kemampuan perusahaan membiayai operasinya dengan pinjaman dibandingkan modal sendiri. Rasio leverage rendah menunjukkan perusahaan mampu membayar utang dengan modal sendiri, sedangkan rasio tinggi dapat menimbulkan kekhawatiran finansial (Rahmawati, 2017). Meskipun utang dapat mengurangi pembayaran pajak dan meningkatkan nilai perusahaan, terlalu banyak utang membawa risiko financial distress yang bisa membuat investor ragu. Debt to Equity Ratio (DER) mengukur proporsi utang terhadap ekuitas, menunjukkan kemampuan perusahaan mengelola utang dengan modal sendiri (Simanjuntak, 2018; Kasmir, 2018). DER tinggi menunjukkan ketergantungan pada utang, yang bisa mempengaruhi return saham karena meningkatkan beban bunga dan mengurangi keuntungan (Hanna, 2019). Sebaliknya, DER rendah menunjukkan kinerja yang lebih baik dengan tingkat pengembalian yang lebih tinggi, menarik minat investor dan meningkatkan return saham. DER membantu investor menilai stabilitas keuangan perusahaan dan potensi pengembalian investasi, serta memperkuat persepsi investor terhadap stabilitas kinerja keuangan perusahaan, mendorong minat investasi, dan meningkatkan return saham.</w:t>
      </w:r>
    </w:p>
    <w:p w14:paraId="40609B42" w14:textId="77777777" w:rsidR="005C6CE3" w:rsidRPr="005C6CE3" w:rsidRDefault="005C6CE3" w:rsidP="005C6CE3">
      <w:pPr>
        <w:widowControl w:val="0"/>
        <w:autoSpaceDE w:val="0"/>
        <w:ind w:right="-1"/>
        <w:rPr>
          <w:bCs/>
          <w:spacing w:val="-1"/>
          <w:lang w:val="id-ID"/>
        </w:rPr>
      </w:pPr>
    </w:p>
    <w:p w14:paraId="1CD00486" w14:textId="44C7628F" w:rsidR="005C6CE3" w:rsidRPr="005C6CE3" w:rsidRDefault="005C6CE3" w:rsidP="005C6CE3">
      <w:pPr>
        <w:pStyle w:val="ListParagraph"/>
        <w:widowControl w:val="0"/>
        <w:numPr>
          <w:ilvl w:val="0"/>
          <w:numId w:val="11"/>
        </w:numPr>
        <w:autoSpaceDE w:val="0"/>
        <w:spacing w:after="0"/>
        <w:ind w:right="-1"/>
        <w:rPr>
          <w:rFonts w:ascii="Times New Roman" w:hAnsi="Times New Roman"/>
          <w:b/>
          <w:spacing w:val="-1"/>
          <w:sz w:val="20"/>
          <w:szCs w:val="20"/>
          <w:lang w:val="id-ID"/>
        </w:rPr>
      </w:pPr>
      <w:r w:rsidRPr="005C6CE3">
        <w:rPr>
          <w:rFonts w:ascii="Times New Roman" w:hAnsi="Times New Roman"/>
          <w:b/>
          <w:spacing w:val="-1"/>
          <w:sz w:val="20"/>
          <w:szCs w:val="20"/>
        </w:rPr>
        <w:t>Kerangka Berfikir</w:t>
      </w:r>
    </w:p>
    <w:p w14:paraId="301CE77C" w14:textId="42DDB444" w:rsidR="005C6CE3" w:rsidRDefault="00BC6B0E" w:rsidP="005C6CE3">
      <w:pPr>
        <w:widowControl w:val="0"/>
        <w:autoSpaceDE w:val="0"/>
        <w:ind w:right="-1"/>
        <w:rPr>
          <w:bCs/>
          <w:spacing w:val="-1"/>
          <w:lang w:val="id-ID"/>
        </w:rPr>
      </w:pPr>
      <w:r>
        <w:rPr>
          <w:rFonts w:asciiTheme="majorBidi" w:hAnsiTheme="majorBidi" w:cstheme="majorBidi"/>
          <w:noProof/>
          <w:sz w:val="24"/>
          <w:szCs w:val="24"/>
        </w:rPr>
        <w:drawing>
          <wp:inline distT="0" distB="0" distL="0" distR="0" wp14:anchorId="4E596999" wp14:editId="6C120D3B">
            <wp:extent cx="2763578" cy="116058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6-18 at 17.58.16.jpeg"/>
                    <pic:cNvPicPr/>
                  </pic:nvPicPr>
                  <pic:blipFill>
                    <a:blip r:embed="rId14">
                      <a:extLst>
                        <a:ext uri="{28A0092B-C50C-407E-A947-70E740481C1C}">
                          <a14:useLocalDpi xmlns:a14="http://schemas.microsoft.com/office/drawing/2010/main" val="0"/>
                        </a:ext>
                      </a:extLst>
                    </a:blip>
                    <a:stretch>
                      <a:fillRect/>
                    </a:stretch>
                  </pic:blipFill>
                  <pic:spPr>
                    <a:xfrm>
                      <a:off x="0" y="0"/>
                      <a:ext cx="2812947" cy="1181318"/>
                    </a:xfrm>
                    <a:prstGeom prst="rect">
                      <a:avLst/>
                    </a:prstGeom>
                  </pic:spPr>
                </pic:pic>
              </a:graphicData>
            </a:graphic>
          </wp:inline>
        </w:drawing>
      </w:r>
    </w:p>
    <w:p w14:paraId="3DA35F22" w14:textId="1657F7FB" w:rsidR="005C6CE3" w:rsidRDefault="005C6CE3" w:rsidP="005C6CE3">
      <w:pPr>
        <w:widowControl w:val="0"/>
        <w:autoSpaceDE w:val="0"/>
        <w:ind w:right="-1"/>
        <w:rPr>
          <w:bCs/>
          <w:spacing w:val="-1"/>
          <w:sz w:val="18"/>
          <w:szCs w:val="18"/>
        </w:rPr>
      </w:pPr>
      <w:r w:rsidRPr="005C6CE3">
        <w:rPr>
          <w:bCs/>
          <w:spacing w:val="-1"/>
          <w:sz w:val="18"/>
          <w:szCs w:val="18"/>
        </w:rPr>
        <w:t>Gambar 1. Kerangka Berfikir</w:t>
      </w:r>
    </w:p>
    <w:p w14:paraId="1C4A7F4F" w14:textId="03C242CD" w:rsidR="007E3081" w:rsidRDefault="007E3081" w:rsidP="00CF3A6F">
      <w:pPr>
        <w:widowControl w:val="0"/>
        <w:autoSpaceDE w:val="0"/>
        <w:ind w:right="-1"/>
        <w:rPr>
          <w:bCs/>
          <w:spacing w:val="-1"/>
          <w:lang w:val="id-ID"/>
        </w:rPr>
      </w:pPr>
    </w:p>
    <w:p w14:paraId="4E896A5E" w14:textId="08C28553" w:rsidR="003D0426" w:rsidRDefault="003D0426" w:rsidP="00CF3A6F">
      <w:pPr>
        <w:widowControl w:val="0"/>
        <w:autoSpaceDE w:val="0"/>
        <w:ind w:right="-1"/>
        <w:rPr>
          <w:bCs/>
          <w:spacing w:val="-1"/>
          <w:lang w:val="id-ID"/>
        </w:rPr>
      </w:pPr>
    </w:p>
    <w:p w14:paraId="29816738" w14:textId="77777777" w:rsidR="003D0426" w:rsidRPr="00E86E7D" w:rsidRDefault="003D0426" w:rsidP="00CF3A6F">
      <w:pPr>
        <w:widowControl w:val="0"/>
        <w:autoSpaceDE w:val="0"/>
        <w:ind w:right="-1"/>
        <w:rPr>
          <w:bCs/>
          <w:spacing w:val="-1"/>
          <w:lang w:val="id-ID"/>
        </w:rPr>
      </w:pPr>
    </w:p>
    <w:p w14:paraId="69663266" w14:textId="7A9926B9" w:rsidR="00400782" w:rsidRDefault="00400782" w:rsidP="00CF3A6F">
      <w:pPr>
        <w:widowControl w:val="0"/>
        <w:autoSpaceDE w:val="0"/>
        <w:ind w:right="-1"/>
        <w:rPr>
          <w:b/>
          <w:bCs/>
          <w:spacing w:val="-1"/>
        </w:rPr>
      </w:pPr>
      <w:r>
        <w:rPr>
          <w:b/>
          <w:bCs/>
          <w:spacing w:val="-1"/>
        </w:rPr>
        <w:t>METODE PENELITIAN</w:t>
      </w:r>
    </w:p>
    <w:p w14:paraId="606F71C1" w14:textId="2E6BF545" w:rsidR="00400782" w:rsidRDefault="00400782" w:rsidP="00CF3A6F">
      <w:pPr>
        <w:widowControl w:val="0"/>
        <w:autoSpaceDE w:val="0"/>
        <w:ind w:right="-1"/>
        <w:rPr>
          <w:b/>
          <w:bCs/>
          <w:spacing w:val="-1"/>
        </w:rPr>
      </w:pPr>
    </w:p>
    <w:p w14:paraId="7EAD3114" w14:textId="2E897992" w:rsidR="00400782" w:rsidRPr="00400782" w:rsidRDefault="00400782" w:rsidP="00400782">
      <w:pPr>
        <w:widowControl w:val="0"/>
        <w:autoSpaceDE w:val="0"/>
        <w:ind w:right="-1" w:firstLine="567"/>
        <w:rPr>
          <w:spacing w:val="-1"/>
        </w:rPr>
      </w:pPr>
      <w:r w:rsidRPr="00400782">
        <w:rPr>
          <w:spacing w:val="-1"/>
        </w:rPr>
        <w:t>Penelitian ini menggunakan pendekatan kuantitatif deskriptif. Populasi dalam penelitian ini adalah seluruh perusahaan sub sektor transportasi dan logistik yang terdaftar di Bursa Efek Indonesia (BEI) selama periode 2015-2019. Sampel penelitian dipilih menggunakan metode purposive sampling dengan kriteria tertentu. Data dikumpulkan melalui dokumentasi laporan keuangan perusahaan yang tersedia di situs resmi BEI. Variabel penelitian terdiri dari Return on Assets (ROA), Debt to Equity Ratio (DER), dan harga saham. Teknik analisis data meliputi analisis deskriptif, uji asumsi klasik (normalitas, multikolinearitas, heteroskedastisitas, dan autokorelasi), serta analisis regresi linier berganda untuk menguji hipotesis yang diajukan</w:t>
      </w:r>
      <w:r>
        <w:rPr>
          <w:spacing w:val="-1"/>
        </w:rPr>
        <w:t>.</w:t>
      </w:r>
    </w:p>
    <w:p w14:paraId="30BA774F" w14:textId="77777777" w:rsidR="00400782" w:rsidRPr="00400782" w:rsidRDefault="00400782" w:rsidP="00CF3A6F">
      <w:pPr>
        <w:widowControl w:val="0"/>
        <w:autoSpaceDE w:val="0"/>
        <w:ind w:right="-1"/>
        <w:rPr>
          <w:b/>
          <w:bCs/>
          <w:spacing w:val="-1"/>
        </w:rPr>
      </w:pPr>
    </w:p>
    <w:p w14:paraId="71914C71" w14:textId="4ED183E6" w:rsidR="00CF3A6F" w:rsidRDefault="00CF3A6F" w:rsidP="00CF3A6F">
      <w:pPr>
        <w:widowControl w:val="0"/>
        <w:autoSpaceDE w:val="0"/>
        <w:ind w:right="-1"/>
        <w:rPr>
          <w:b/>
          <w:bCs/>
          <w:w w:val="104"/>
        </w:rPr>
      </w:pPr>
      <w:r>
        <w:rPr>
          <w:b/>
          <w:bCs/>
          <w:spacing w:val="-1"/>
          <w:lang w:val="id-ID"/>
        </w:rPr>
        <w:t>HA</w:t>
      </w:r>
      <w:r>
        <w:rPr>
          <w:b/>
          <w:bCs/>
          <w:spacing w:val="-1"/>
        </w:rPr>
        <w:t xml:space="preserve">SIL DAN </w:t>
      </w:r>
      <w:r>
        <w:rPr>
          <w:b/>
          <w:bCs/>
          <w:spacing w:val="-1"/>
          <w:w w:val="104"/>
        </w:rPr>
        <w:t>PE</w:t>
      </w:r>
      <w:r>
        <w:rPr>
          <w:b/>
          <w:bCs/>
          <w:spacing w:val="4"/>
          <w:w w:val="104"/>
        </w:rPr>
        <w:t>M</w:t>
      </w:r>
      <w:r>
        <w:rPr>
          <w:b/>
          <w:bCs/>
          <w:spacing w:val="-1"/>
          <w:w w:val="104"/>
        </w:rPr>
        <w:t>B</w:t>
      </w:r>
      <w:r>
        <w:rPr>
          <w:b/>
          <w:bCs/>
          <w:w w:val="104"/>
        </w:rPr>
        <w:t>A</w:t>
      </w:r>
      <w:r>
        <w:rPr>
          <w:b/>
          <w:bCs/>
          <w:spacing w:val="1"/>
          <w:w w:val="104"/>
        </w:rPr>
        <w:t>H</w:t>
      </w:r>
      <w:r>
        <w:rPr>
          <w:b/>
          <w:bCs/>
          <w:spacing w:val="2"/>
          <w:w w:val="104"/>
        </w:rPr>
        <w:t>A</w:t>
      </w:r>
      <w:r>
        <w:rPr>
          <w:b/>
          <w:bCs/>
          <w:w w:val="104"/>
        </w:rPr>
        <w:t>SAN</w:t>
      </w:r>
    </w:p>
    <w:p w14:paraId="6E2E7DD7" w14:textId="2BC688CE" w:rsidR="00747BE8" w:rsidRDefault="00747BE8" w:rsidP="00CF3A6F">
      <w:pPr>
        <w:widowControl w:val="0"/>
        <w:autoSpaceDE w:val="0"/>
        <w:spacing w:line="247" w:lineRule="auto"/>
        <w:ind w:right="-1"/>
        <w:rPr>
          <w:spacing w:val="-2"/>
        </w:rPr>
      </w:pPr>
    </w:p>
    <w:p w14:paraId="5C8A0873" w14:textId="228B90C4" w:rsidR="003416BB" w:rsidRPr="002B3708" w:rsidRDefault="003416BB" w:rsidP="003416BB">
      <w:pPr>
        <w:pStyle w:val="ListParagraph"/>
        <w:widowControl w:val="0"/>
        <w:numPr>
          <w:ilvl w:val="0"/>
          <w:numId w:val="4"/>
        </w:numPr>
        <w:autoSpaceDE w:val="0"/>
        <w:spacing w:after="0" w:line="247" w:lineRule="auto"/>
        <w:ind w:right="-1"/>
        <w:jc w:val="both"/>
        <w:rPr>
          <w:rFonts w:ascii="Times New Roman" w:hAnsi="Times New Roman"/>
          <w:b/>
          <w:bCs/>
          <w:spacing w:val="-2"/>
          <w:sz w:val="20"/>
          <w:szCs w:val="20"/>
        </w:rPr>
      </w:pPr>
      <w:r w:rsidRPr="002B3708">
        <w:rPr>
          <w:rFonts w:ascii="Times New Roman" w:hAnsi="Times New Roman"/>
          <w:b/>
          <w:bCs/>
          <w:spacing w:val="-2"/>
          <w:sz w:val="20"/>
          <w:szCs w:val="20"/>
        </w:rPr>
        <w:t>Uji Asumsi Klasik</w:t>
      </w:r>
    </w:p>
    <w:p w14:paraId="2DD74455" w14:textId="394F9720" w:rsidR="003416BB" w:rsidRDefault="003416BB" w:rsidP="003416BB">
      <w:pPr>
        <w:pStyle w:val="ListParagraph"/>
        <w:widowControl w:val="0"/>
        <w:numPr>
          <w:ilvl w:val="0"/>
          <w:numId w:val="5"/>
        </w:numPr>
        <w:autoSpaceDE w:val="0"/>
        <w:spacing w:after="0" w:line="247" w:lineRule="auto"/>
        <w:ind w:right="-1"/>
        <w:jc w:val="both"/>
        <w:rPr>
          <w:rFonts w:ascii="Times New Roman" w:hAnsi="Times New Roman"/>
          <w:spacing w:val="-2"/>
          <w:sz w:val="20"/>
          <w:szCs w:val="20"/>
        </w:rPr>
      </w:pPr>
      <w:r>
        <w:rPr>
          <w:rFonts w:ascii="Times New Roman" w:hAnsi="Times New Roman"/>
          <w:spacing w:val="-2"/>
          <w:sz w:val="20"/>
          <w:szCs w:val="20"/>
        </w:rPr>
        <w:t>Uji Normalitas</w:t>
      </w:r>
    </w:p>
    <w:p w14:paraId="0EB785C3" w14:textId="39D4061D" w:rsidR="003416BB" w:rsidRDefault="00400782" w:rsidP="003416BB">
      <w:pPr>
        <w:widowControl w:val="0"/>
        <w:autoSpaceDE w:val="0"/>
        <w:spacing w:line="247" w:lineRule="auto"/>
        <w:ind w:right="-1"/>
        <w:rPr>
          <w:spacing w:val="-2"/>
          <w:sz w:val="18"/>
          <w:szCs w:val="18"/>
        </w:rPr>
      </w:pPr>
      <w:r>
        <w:rPr>
          <w:spacing w:val="-2"/>
          <w:sz w:val="18"/>
          <w:szCs w:val="18"/>
        </w:rPr>
        <w:t>Tabel 1.</w:t>
      </w:r>
      <w:r w:rsidR="007E3081">
        <w:rPr>
          <w:spacing w:val="-2"/>
          <w:sz w:val="18"/>
          <w:szCs w:val="18"/>
        </w:rPr>
        <w:t xml:space="preserve"> Uji Normalitas</w:t>
      </w:r>
    </w:p>
    <w:tbl>
      <w:tblPr>
        <w:tblW w:w="42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9"/>
        <w:gridCol w:w="1134"/>
        <w:gridCol w:w="709"/>
        <w:gridCol w:w="1276"/>
      </w:tblGrid>
      <w:tr w:rsidR="00400782" w:rsidRPr="00400782" w14:paraId="661DF695" w14:textId="77777777" w:rsidTr="00400782">
        <w:trPr>
          <w:cantSplit/>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B13BC70" w14:textId="77777777" w:rsidR="00400782" w:rsidRPr="00400782" w:rsidRDefault="00400782" w:rsidP="009344CD">
            <w:pPr>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2F30E72F" w14:textId="77777777" w:rsidR="00400782" w:rsidRPr="00400782" w:rsidRDefault="00400782" w:rsidP="009344CD">
            <w:pPr>
              <w:autoSpaceDE w:val="0"/>
              <w:autoSpaceDN w:val="0"/>
              <w:adjustRightInd w:val="0"/>
              <w:ind w:left="60" w:right="60"/>
              <w:jc w:val="center"/>
              <w:rPr>
                <w:rFonts w:ascii="Arial" w:hAnsi="Arial" w:cs="Arial"/>
                <w:color w:val="000000"/>
                <w:sz w:val="16"/>
                <w:szCs w:val="16"/>
              </w:rPr>
            </w:pPr>
            <w:r w:rsidRPr="00400782">
              <w:rPr>
                <w:rFonts w:ascii="Arial" w:hAnsi="Arial" w:cs="Arial"/>
                <w:color w:val="000000"/>
                <w:sz w:val="16"/>
                <w:szCs w:val="16"/>
              </w:rPr>
              <w:t>Y_1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0221CF65" w14:textId="77777777" w:rsidR="00400782" w:rsidRPr="00400782" w:rsidRDefault="00400782" w:rsidP="009344CD">
            <w:pPr>
              <w:autoSpaceDE w:val="0"/>
              <w:autoSpaceDN w:val="0"/>
              <w:adjustRightInd w:val="0"/>
              <w:ind w:left="60" w:right="60"/>
              <w:jc w:val="center"/>
              <w:rPr>
                <w:rFonts w:ascii="Arial" w:hAnsi="Arial" w:cs="Arial"/>
                <w:color w:val="000000"/>
                <w:sz w:val="16"/>
                <w:szCs w:val="16"/>
              </w:rPr>
            </w:pPr>
            <w:r w:rsidRPr="00400782">
              <w:rPr>
                <w:rFonts w:ascii="Arial" w:hAnsi="Arial" w:cs="Arial"/>
                <w:color w:val="000000"/>
                <w:sz w:val="16"/>
                <w:szCs w:val="16"/>
              </w:rPr>
              <w:t>Unstandardized Residual</w:t>
            </w:r>
          </w:p>
        </w:tc>
      </w:tr>
      <w:tr w:rsidR="00400782" w:rsidRPr="00400782" w14:paraId="2A0A70BA" w14:textId="77777777" w:rsidTr="00400782">
        <w:trPr>
          <w:cantSplit/>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FFFFFF"/>
          </w:tcPr>
          <w:p w14:paraId="2689A85F"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0D00C2"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36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E2C774"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36</w:t>
            </w:r>
          </w:p>
        </w:tc>
      </w:tr>
      <w:tr w:rsidR="00400782" w:rsidRPr="00400782" w14:paraId="7F31A029" w14:textId="77777777" w:rsidTr="00400782">
        <w:trPr>
          <w:cantSplit/>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14:paraId="6D936343"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Normal Parameters</w:t>
            </w:r>
            <w:r w:rsidRPr="00400782">
              <w:rPr>
                <w:rFonts w:ascii="Arial" w:hAnsi="Arial" w:cs="Arial"/>
                <w:color w:val="000000"/>
                <w:sz w:val="16"/>
                <w:szCs w:val="16"/>
                <w:vertAlign w:val="superscript"/>
              </w:rPr>
              <w:t>a,b</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53FD6C"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2DEA49"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529.67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81A206"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.0000000</w:t>
            </w:r>
          </w:p>
        </w:tc>
      </w:tr>
      <w:tr w:rsidR="00400782" w:rsidRPr="00400782" w14:paraId="308AA5F7" w14:textId="77777777" w:rsidTr="00400782">
        <w:trPr>
          <w:cantSplit/>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cPr>
          <w:p w14:paraId="2DDA38E3" w14:textId="77777777" w:rsidR="00400782" w:rsidRPr="00400782" w:rsidRDefault="00400782" w:rsidP="009344CD">
            <w:pPr>
              <w:autoSpaceDE w:val="0"/>
              <w:autoSpaceDN w:val="0"/>
              <w:adjustRightInd w:val="0"/>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C516D6"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Std. Deviation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09D653"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714.304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700C0A"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118.12982887</w:t>
            </w:r>
          </w:p>
        </w:tc>
      </w:tr>
      <w:tr w:rsidR="00400782" w:rsidRPr="00400782" w14:paraId="319B9843" w14:textId="77777777" w:rsidTr="00400782">
        <w:trPr>
          <w:cantSplit/>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14:paraId="520DAF66"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Most Extreme Differences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0EBE82"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Absolute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AF74FE"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.260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28002C"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.093</w:t>
            </w:r>
          </w:p>
        </w:tc>
      </w:tr>
      <w:tr w:rsidR="00400782" w:rsidRPr="00400782" w14:paraId="77315C58" w14:textId="77777777" w:rsidTr="00400782">
        <w:trPr>
          <w:cantSplit/>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cPr>
          <w:p w14:paraId="392D1AFB" w14:textId="77777777" w:rsidR="00400782" w:rsidRPr="00400782" w:rsidRDefault="00400782" w:rsidP="009344CD">
            <w:pPr>
              <w:autoSpaceDE w:val="0"/>
              <w:autoSpaceDN w:val="0"/>
              <w:adjustRightInd w:val="0"/>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270E475"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Positive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F904BE"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.260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37B541"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.093</w:t>
            </w:r>
          </w:p>
        </w:tc>
      </w:tr>
      <w:tr w:rsidR="00400782" w:rsidRPr="00400782" w14:paraId="413656F0" w14:textId="77777777" w:rsidTr="00400782">
        <w:trPr>
          <w:cantSplit/>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cPr>
          <w:p w14:paraId="3BB0A517" w14:textId="77777777" w:rsidR="00400782" w:rsidRPr="00400782" w:rsidRDefault="00400782" w:rsidP="009344CD">
            <w:pPr>
              <w:autoSpaceDE w:val="0"/>
              <w:autoSpaceDN w:val="0"/>
              <w:adjustRightInd w:val="0"/>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BA266C"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Negative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60A027"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-.251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ECC460"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-.091</w:t>
            </w:r>
          </w:p>
        </w:tc>
      </w:tr>
      <w:tr w:rsidR="00400782" w:rsidRPr="00400782" w14:paraId="775E8E2A" w14:textId="77777777" w:rsidTr="00400782">
        <w:trPr>
          <w:cantSplit/>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FFFFFF"/>
          </w:tcPr>
          <w:p w14:paraId="5CB21AA4"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Test Statistic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B4DD2C"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.260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95A16D"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.093</w:t>
            </w:r>
          </w:p>
        </w:tc>
      </w:tr>
      <w:tr w:rsidR="00400782" w:rsidRPr="00400782" w14:paraId="58B9244E" w14:textId="77777777" w:rsidTr="00400782">
        <w:trPr>
          <w:cantSplit/>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FFFFFF"/>
          </w:tcPr>
          <w:p w14:paraId="0180CA9C" w14:textId="77777777" w:rsidR="00400782" w:rsidRPr="00400782" w:rsidRDefault="00400782" w:rsidP="009344CD">
            <w:pPr>
              <w:autoSpaceDE w:val="0"/>
              <w:autoSpaceDN w:val="0"/>
              <w:adjustRightInd w:val="0"/>
              <w:ind w:left="60" w:right="60"/>
              <w:rPr>
                <w:rFonts w:ascii="Arial" w:hAnsi="Arial" w:cs="Arial"/>
                <w:color w:val="000000"/>
                <w:sz w:val="16"/>
                <w:szCs w:val="16"/>
              </w:rPr>
            </w:pPr>
            <w:r w:rsidRPr="00400782">
              <w:rPr>
                <w:rFonts w:ascii="Arial" w:hAnsi="Arial" w:cs="Arial"/>
                <w:color w:val="000000"/>
                <w:sz w:val="16"/>
                <w:szCs w:val="16"/>
              </w:rPr>
              <w:t>Asymp. Sig. (2-tailed)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E98522"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.000</w:t>
            </w:r>
            <w:r w:rsidRPr="00400782">
              <w:rPr>
                <w:rFonts w:ascii="Arial" w:hAnsi="Arial" w:cs="Arial"/>
                <w:color w:val="000000"/>
                <w:sz w:val="16"/>
                <w:szCs w:val="16"/>
                <w:vertAlign w:val="superscript"/>
              </w:rPr>
              <w:t>c</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A5479D" w14:textId="77777777" w:rsidR="00400782" w:rsidRPr="00400782" w:rsidRDefault="00400782" w:rsidP="009344CD">
            <w:pPr>
              <w:autoSpaceDE w:val="0"/>
              <w:autoSpaceDN w:val="0"/>
              <w:adjustRightInd w:val="0"/>
              <w:ind w:left="60" w:right="60"/>
              <w:jc w:val="right"/>
              <w:rPr>
                <w:rFonts w:ascii="Arial" w:hAnsi="Arial" w:cs="Arial"/>
                <w:color w:val="000000"/>
                <w:sz w:val="16"/>
                <w:szCs w:val="16"/>
              </w:rPr>
            </w:pPr>
            <w:r w:rsidRPr="00400782">
              <w:rPr>
                <w:rFonts w:ascii="Arial" w:hAnsi="Arial" w:cs="Arial"/>
                <w:color w:val="000000"/>
                <w:sz w:val="16"/>
                <w:szCs w:val="16"/>
              </w:rPr>
              <w:t>.200</w:t>
            </w:r>
            <w:r w:rsidRPr="00400782">
              <w:rPr>
                <w:rFonts w:ascii="Arial" w:hAnsi="Arial" w:cs="Arial"/>
                <w:color w:val="000000"/>
                <w:sz w:val="16"/>
                <w:szCs w:val="16"/>
                <w:vertAlign w:val="superscript"/>
              </w:rPr>
              <w:t>c,d</w:t>
            </w:r>
          </w:p>
        </w:tc>
      </w:tr>
    </w:tbl>
    <w:p w14:paraId="5BC713C2" w14:textId="77777777" w:rsidR="00400782" w:rsidRPr="007E3081" w:rsidRDefault="00400782" w:rsidP="003416BB">
      <w:pPr>
        <w:widowControl w:val="0"/>
        <w:autoSpaceDE w:val="0"/>
        <w:spacing w:line="247" w:lineRule="auto"/>
        <w:ind w:right="-1"/>
        <w:rPr>
          <w:spacing w:val="-2"/>
          <w:sz w:val="18"/>
          <w:szCs w:val="18"/>
        </w:rPr>
      </w:pPr>
    </w:p>
    <w:p w14:paraId="53DCF08B" w14:textId="446EB80C" w:rsidR="007E3081" w:rsidRDefault="002815C5" w:rsidP="007E3081">
      <w:pPr>
        <w:widowControl w:val="0"/>
        <w:autoSpaceDE w:val="0"/>
        <w:spacing w:line="247" w:lineRule="auto"/>
        <w:ind w:right="-1" w:firstLine="567"/>
        <w:rPr>
          <w:spacing w:val="-2"/>
        </w:rPr>
      </w:pPr>
      <w:r w:rsidRPr="002815C5">
        <w:rPr>
          <w:spacing w:val="-2"/>
        </w:rPr>
        <w:t xml:space="preserve">Berdasarkan tabel </w:t>
      </w:r>
      <w:r>
        <w:rPr>
          <w:spacing w:val="-2"/>
        </w:rPr>
        <w:t xml:space="preserve">1. </w:t>
      </w:r>
      <w:r w:rsidRPr="002815C5">
        <w:rPr>
          <w:spacing w:val="-2"/>
        </w:rPr>
        <w:t>hasil perhitungan nilai asymptotic sig sebesar 0,200 menunjukkan bahwa data Unstandardized Residual berdistribusi normal, karena nilai tersebut lebih besar dari 0,05</w:t>
      </w:r>
      <w:r w:rsidR="007E3081" w:rsidRPr="007E3081">
        <w:rPr>
          <w:spacing w:val="-2"/>
          <w:lang w:val="en-ID"/>
        </w:rPr>
        <w:t>.</w:t>
      </w:r>
    </w:p>
    <w:p w14:paraId="7FA40F7B" w14:textId="0A899DDD" w:rsidR="007E3081" w:rsidRPr="003416BB" w:rsidRDefault="007E3081" w:rsidP="003416BB">
      <w:pPr>
        <w:widowControl w:val="0"/>
        <w:autoSpaceDE w:val="0"/>
        <w:spacing w:line="247" w:lineRule="auto"/>
        <w:ind w:right="-1"/>
        <w:rPr>
          <w:spacing w:val="-2"/>
        </w:rPr>
      </w:pPr>
    </w:p>
    <w:p w14:paraId="75D61FDD" w14:textId="40453CD7" w:rsidR="003416BB" w:rsidRDefault="007E3081" w:rsidP="003416BB">
      <w:pPr>
        <w:pStyle w:val="ListParagraph"/>
        <w:widowControl w:val="0"/>
        <w:numPr>
          <w:ilvl w:val="0"/>
          <w:numId w:val="5"/>
        </w:numPr>
        <w:autoSpaceDE w:val="0"/>
        <w:spacing w:after="0" w:line="247" w:lineRule="auto"/>
        <w:ind w:right="-1"/>
        <w:jc w:val="both"/>
        <w:rPr>
          <w:rFonts w:ascii="Times New Roman" w:hAnsi="Times New Roman"/>
          <w:spacing w:val="-2"/>
          <w:sz w:val="20"/>
          <w:szCs w:val="20"/>
        </w:rPr>
      </w:pPr>
      <w:r>
        <w:rPr>
          <w:rFonts w:ascii="Times New Roman" w:hAnsi="Times New Roman"/>
          <w:spacing w:val="-2"/>
          <w:sz w:val="20"/>
          <w:szCs w:val="20"/>
        </w:rPr>
        <w:t xml:space="preserve">Uji </w:t>
      </w:r>
      <w:r w:rsidR="002815C5">
        <w:rPr>
          <w:rFonts w:ascii="Times New Roman" w:hAnsi="Times New Roman"/>
          <w:spacing w:val="-2"/>
          <w:sz w:val="20"/>
          <w:szCs w:val="20"/>
        </w:rPr>
        <w:t xml:space="preserve">Multikolinearitas </w:t>
      </w:r>
      <w:r>
        <w:rPr>
          <w:rFonts w:ascii="Times New Roman" w:hAnsi="Times New Roman"/>
          <w:spacing w:val="-2"/>
          <w:sz w:val="20"/>
          <w:szCs w:val="20"/>
        </w:rPr>
        <w:t>Heteroskedastisitas</w:t>
      </w:r>
    </w:p>
    <w:p w14:paraId="3FF6E0F4" w14:textId="7B686A34" w:rsidR="007E3081" w:rsidRDefault="002815C5" w:rsidP="007E3081">
      <w:pPr>
        <w:widowControl w:val="0"/>
        <w:autoSpaceDE w:val="0"/>
        <w:spacing w:line="247" w:lineRule="auto"/>
        <w:ind w:right="-1"/>
        <w:rPr>
          <w:spacing w:val="-2"/>
        </w:rPr>
      </w:pPr>
      <w:r>
        <w:rPr>
          <w:spacing w:val="-2"/>
          <w:sz w:val="18"/>
          <w:szCs w:val="18"/>
        </w:rPr>
        <w:t>Tabel 2</w:t>
      </w:r>
      <w:r w:rsidR="007E3081">
        <w:rPr>
          <w:spacing w:val="-2"/>
          <w:sz w:val="18"/>
          <w:szCs w:val="18"/>
        </w:rPr>
        <w:t xml:space="preserve">. Uji </w:t>
      </w:r>
      <w:r w:rsidRPr="002815C5">
        <w:rPr>
          <w:spacing w:val="-2"/>
          <w:sz w:val="18"/>
          <w:szCs w:val="18"/>
        </w:rPr>
        <w:t>Multikolinearitas</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
        <w:gridCol w:w="709"/>
        <w:gridCol w:w="567"/>
        <w:gridCol w:w="567"/>
        <w:gridCol w:w="850"/>
        <w:gridCol w:w="426"/>
        <w:gridCol w:w="425"/>
        <w:gridCol w:w="709"/>
        <w:gridCol w:w="425"/>
      </w:tblGrid>
      <w:tr w:rsidR="002815C5" w:rsidRPr="002815C5" w14:paraId="2EC09871" w14:textId="77777777" w:rsidTr="002815C5">
        <w:trPr>
          <w:cantSplit/>
          <w:trHeight w:val="435"/>
        </w:trPr>
        <w:tc>
          <w:tcPr>
            <w:tcW w:w="846" w:type="dxa"/>
            <w:gridSpan w:val="2"/>
            <w:vMerge w:val="restart"/>
            <w:shd w:val="clear" w:color="auto" w:fill="auto"/>
            <w:vAlign w:val="bottom"/>
          </w:tcPr>
          <w:p w14:paraId="73823C1D" w14:textId="77777777" w:rsidR="002815C5" w:rsidRPr="002815C5" w:rsidRDefault="002815C5" w:rsidP="007646AE">
            <w:pPr>
              <w:autoSpaceDE w:val="0"/>
              <w:autoSpaceDN w:val="0"/>
              <w:adjustRightInd w:val="0"/>
              <w:ind w:left="60" w:right="60"/>
              <w:rPr>
                <w:color w:val="000000"/>
                <w:sz w:val="12"/>
                <w:szCs w:val="12"/>
              </w:rPr>
            </w:pPr>
            <w:bookmarkStart w:id="0" w:name="_Hlk171511986"/>
            <w:r w:rsidRPr="002815C5">
              <w:rPr>
                <w:color w:val="000000"/>
                <w:sz w:val="12"/>
                <w:szCs w:val="12"/>
              </w:rPr>
              <w:t>Model</w:t>
            </w:r>
          </w:p>
        </w:tc>
        <w:tc>
          <w:tcPr>
            <w:tcW w:w="1134" w:type="dxa"/>
            <w:gridSpan w:val="2"/>
            <w:shd w:val="clear" w:color="auto" w:fill="auto"/>
            <w:vAlign w:val="bottom"/>
          </w:tcPr>
          <w:p w14:paraId="6649275C"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Unstandardized Coefficients</w:t>
            </w:r>
          </w:p>
        </w:tc>
        <w:tc>
          <w:tcPr>
            <w:tcW w:w="850" w:type="dxa"/>
            <w:shd w:val="clear" w:color="auto" w:fill="auto"/>
            <w:vAlign w:val="bottom"/>
          </w:tcPr>
          <w:p w14:paraId="1F77D3F5"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Standardized Coefficients</w:t>
            </w:r>
          </w:p>
        </w:tc>
        <w:tc>
          <w:tcPr>
            <w:tcW w:w="426" w:type="dxa"/>
            <w:vMerge w:val="restart"/>
            <w:shd w:val="clear" w:color="auto" w:fill="auto"/>
            <w:vAlign w:val="bottom"/>
          </w:tcPr>
          <w:p w14:paraId="530B282F" w14:textId="77777777" w:rsidR="002815C5" w:rsidRPr="002815C5" w:rsidRDefault="002815C5" w:rsidP="007646AE">
            <w:pPr>
              <w:autoSpaceDE w:val="0"/>
              <w:autoSpaceDN w:val="0"/>
              <w:adjustRightInd w:val="0"/>
              <w:ind w:left="-22" w:right="60"/>
              <w:jc w:val="center"/>
              <w:rPr>
                <w:color w:val="000000"/>
                <w:sz w:val="12"/>
                <w:szCs w:val="12"/>
              </w:rPr>
            </w:pPr>
            <w:r w:rsidRPr="002815C5">
              <w:rPr>
                <w:color w:val="000000"/>
                <w:sz w:val="12"/>
                <w:szCs w:val="12"/>
              </w:rPr>
              <w:t>t</w:t>
            </w:r>
          </w:p>
        </w:tc>
        <w:tc>
          <w:tcPr>
            <w:tcW w:w="425" w:type="dxa"/>
            <w:vMerge w:val="restart"/>
            <w:shd w:val="clear" w:color="auto" w:fill="auto"/>
            <w:vAlign w:val="bottom"/>
          </w:tcPr>
          <w:p w14:paraId="6E11662B"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Sig.</w:t>
            </w:r>
          </w:p>
        </w:tc>
        <w:tc>
          <w:tcPr>
            <w:tcW w:w="1134" w:type="dxa"/>
            <w:gridSpan w:val="2"/>
            <w:shd w:val="clear" w:color="auto" w:fill="auto"/>
            <w:vAlign w:val="bottom"/>
          </w:tcPr>
          <w:p w14:paraId="2C896A52"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Collinearity Statistics</w:t>
            </w:r>
          </w:p>
        </w:tc>
      </w:tr>
      <w:tr w:rsidR="002815C5" w:rsidRPr="002815C5" w14:paraId="6D15389D" w14:textId="77777777" w:rsidTr="002815C5">
        <w:trPr>
          <w:cantSplit/>
          <w:trHeight w:val="99"/>
        </w:trPr>
        <w:tc>
          <w:tcPr>
            <w:tcW w:w="846" w:type="dxa"/>
            <w:gridSpan w:val="2"/>
            <w:vMerge/>
            <w:shd w:val="clear" w:color="auto" w:fill="auto"/>
            <w:vAlign w:val="bottom"/>
          </w:tcPr>
          <w:p w14:paraId="2DA4F9EC" w14:textId="77777777" w:rsidR="002815C5" w:rsidRPr="002815C5" w:rsidRDefault="002815C5" w:rsidP="007646AE">
            <w:pPr>
              <w:autoSpaceDE w:val="0"/>
              <w:autoSpaceDN w:val="0"/>
              <w:adjustRightInd w:val="0"/>
              <w:rPr>
                <w:color w:val="000000"/>
                <w:sz w:val="12"/>
                <w:szCs w:val="12"/>
              </w:rPr>
            </w:pPr>
          </w:p>
        </w:tc>
        <w:tc>
          <w:tcPr>
            <w:tcW w:w="567" w:type="dxa"/>
            <w:shd w:val="clear" w:color="auto" w:fill="auto"/>
            <w:vAlign w:val="bottom"/>
          </w:tcPr>
          <w:p w14:paraId="2D14A887"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B</w:t>
            </w:r>
          </w:p>
        </w:tc>
        <w:tc>
          <w:tcPr>
            <w:tcW w:w="567" w:type="dxa"/>
            <w:shd w:val="clear" w:color="auto" w:fill="auto"/>
            <w:vAlign w:val="bottom"/>
          </w:tcPr>
          <w:p w14:paraId="0C921C10"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Std. Error</w:t>
            </w:r>
          </w:p>
        </w:tc>
        <w:tc>
          <w:tcPr>
            <w:tcW w:w="850" w:type="dxa"/>
            <w:shd w:val="clear" w:color="auto" w:fill="auto"/>
            <w:vAlign w:val="bottom"/>
          </w:tcPr>
          <w:p w14:paraId="5C4B3D32"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Beta</w:t>
            </w:r>
          </w:p>
        </w:tc>
        <w:tc>
          <w:tcPr>
            <w:tcW w:w="426" w:type="dxa"/>
            <w:vMerge/>
            <w:shd w:val="clear" w:color="auto" w:fill="auto"/>
            <w:vAlign w:val="bottom"/>
          </w:tcPr>
          <w:p w14:paraId="4D778785" w14:textId="77777777" w:rsidR="002815C5" w:rsidRPr="002815C5" w:rsidRDefault="002815C5" w:rsidP="007646AE">
            <w:pPr>
              <w:autoSpaceDE w:val="0"/>
              <w:autoSpaceDN w:val="0"/>
              <w:adjustRightInd w:val="0"/>
              <w:rPr>
                <w:color w:val="000000"/>
                <w:sz w:val="12"/>
                <w:szCs w:val="12"/>
              </w:rPr>
            </w:pPr>
          </w:p>
        </w:tc>
        <w:tc>
          <w:tcPr>
            <w:tcW w:w="425" w:type="dxa"/>
            <w:vMerge/>
            <w:shd w:val="clear" w:color="auto" w:fill="auto"/>
            <w:vAlign w:val="bottom"/>
          </w:tcPr>
          <w:p w14:paraId="7D96E9C8" w14:textId="77777777" w:rsidR="002815C5" w:rsidRPr="002815C5" w:rsidRDefault="002815C5" w:rsidP="007646AE">
            <w:pPr>
              <w:autoSpaceDE w:val="0"/>
              <w:autoSpaceDN w:val="0"/>
              <w:adjustRightInd w:val="0"/>
              <w:rPr>
                <w:color w:val="000000"/>
                <w:sz w:val="12"/>
                <w:szCs w:val="12"/>
              </w:rPr>
            </w:pPr>
          </w:p>
        </w:tc>
        <w:tc>
          <w:tcPr>
            <w:tcW w:w="709" w:type="dxa"/>
            <w:shd w:val="clear" w:color="auto" w:fill="auto"/>
            <w:vAlign w:val="bottom"/>
          </w:tcPr>
          <w:p w14:paraId="21939026"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Tolerance</w:t>
            </w:r>
          </w:p>
        </w:tc>
        <w:tc>
          <w:tcPr>
            <w:tcW w:w="425" w:type="dxa"/>
            <w:shd w:val="clear" w:color="auto" w:fill="auto"/>
            <w:vAlign w:val="bottom"/>
          </w:tcPr>
          <w:p w14:paraId="350DCA43" w14:textId="77777777" w:rsidR="002815C5" w:rsidRPr="002815C5" w:rsidRDefault="002815C5" w:rsidP="007646AE">
            <w:pPr>
              <w:autoSpaceDE w:val="0"/>
              <w:autoSpaceDN w:val="0"/>
              <w:adjustRightInd w:val="0"/>
              <w:ind w:left="60" w:right="60"/>
              <w:jc w:val="center"/>
              <w:rPr>
                <w:color w:val="000000"/>
                <w:sz w:val="12"/>
                <w:szCs w:val="12"/>
              </w:rPr>
            </w:pPr>
            <w:r w:rsidRPr="002815C5">
              <w:rPr>
                <w:color w:val="000000"/>
                <w:sz w:val="12"/>
                <w:szCs w:val="12"/>
              </w:rPr>
              <w:t>VIF</w:t>
            </w:r>
          </w:p>
        </w:tc>
      </w:tr>
      <w:tr w:rsidR="002815C5" w:rsidRPr="002815C5" w14:paraId="3A59B564" w14:textId="77777777" w:rsidTr="007646AE">
        <w:trPr>
          <w:cantSplit/>
          <w:trHeight w:val="218"/>
        </w:trPr>
        <w:tc>
          <w:tcPr>
            <w:tcW w:w="137" w:type="dxa"/>
            <w:vMerge w:val="restart"/>
            <w:shd w:val="clear" w:color="auto" w:fill="auto"/>
          </w:tcPr>
          <w:p w14:paraId="6229DBCA" w14:textId="77777777" w:rsidR="002815C5" w:rsidRPr="002815C5" w:rsidRDefault="002815C5" w:rsidP="007646AE">
            <w:pPr>
              <w:autoSpaceDE w:val="0"/>
              <w:autoSpaceDN w:val="0"/>
              <w:adjustRightInd w:val="0"/>
              <w:ind w:left="60" w:right="60"/>
              <w:rPr>
                <w:color w:val="000000"/>
                <w:sz w:val="12"/>
                <w:szCs w:val="12"/>
              </w:rPr>
            </w:pPr>
            <w:r w:rsidRPr="002815C5">
              <w:rPr>
                <w:color w:val="000000"/>
                <w:sz w:val="12"/>
                <w:szCs w:val="12"/>
              </w:rPr>
              <w:t>1</w:t>
            </w:r>
          </w:p>
        </w:tc>
        <w:tc>
          <w:tcPr>
            <w:tcW w:w="709" w:type="dxa"/>
            <w:shd w:val="clear" w:color="auto" w:fill="auto"/>
          </w:tcPr>
          <w:p w14:paraId="7AE1BEDA" w14:textId="77777777" w:rsidR="002815C5" w:rsidRPr="002815C5" w:rsidRDefault="002815C5" w:rsidP="007646AE">
            <w:pPr>
              <w:autoSpaceDE w:val="0"/>
              <w:autoSpaceDN w:val="0"/>
              <w:adjustRightInd w:val="0"/>
              <w:ind w:left="60" w:right="60"/>
              <w:rPr>
                <w:color w:val="000000"/>
                <w:sz w:val="12"/>
                <w:szCs w:val="12"/>
              </w:rPr>
            </w:pPr>
            <w:r w:rsidRPr="002815C5">
              <w:rPr>
                <w:color w:val="000000"/>
                <w:sz w:val="12"/>
                <w:szCs w:val="12"/>
              </w:rPr>
              <w:t>(Constant)</w:t>
            </w:r>
          </w:p>
        </w:tc>
        <w:tc>
          <w:tcPr>
            <w:tcW w:w="567" w:type="dxa"/>
            <w:shd w:val="clear" w:color="auto" w:fill="auto"/>
            <w:vAlign w:val="center"/>
          </w:tcPr>
          <w:p w14:paraId="4163B5AB"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537.193</w:t>
            </w:r>
          </w:p>
        </w:tc>
        <w:tc>
          <w:tcPr>
            <w:tcW w:w="567" w:type="dxa"/>
            <w:shd w:val="clear" w:color="auto" w:fill="auto"/>
            <w:vAlign w:val="center"/>
          </w:tcPr>
          <w:p w14:paraId="293D405B"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20.292</w:t>
            </w:r>
          </w:p>
        </w:tc>
        <w:tc>
          <w:tcPr>
            <w:tcW w:w="850" w:type="dxa"/>
            <w:shd w:val="clear" w:color="auto" w:fill="auto"/>
            <w:vAlign w:val="center"/>
          </w:tcPr>
          <w:p w14:paraId="2DDAB7BB" w14:textId="77777777" w:rsidR="002815C5" w:rsidRPr="002815C5" w:rsidRDefault="002815C5" w:rsidP="007646AE">
            <w:pPr>
              <w:autoSpaceDE w:val="0"/>
              <w:autoSpaceDN w:val="0"/>
              <w:adjustRightInd w:val="0"/>
              <w:rPr>
                <w:sz w:val="12"/>
                <w:szCs w:val="12"/>
              </w:rPr>
            </w:pPr>
          </w:p>
        </w:tc>
        <w:tc>
          <w:tcPr>
            <w:tcW w:w="426" w:type="dxa"/>
            <w:shd w:val="clear" w:color="auto" w:fill="auto"/>
            <w:vAlign w:val="center"/>
          </w:tcPr>
          <w:p w14:paraId="3AC73E27" w14:textId="77777777" w:rsidR="002815C5" w:rsidRPr="002815C5" w:rsidRDefault="002815C5" w:rsidP="007646AE">
            <w:pPr>
              <w:autoSpaceDE w:val="0"/>
              <w:autoSpaceDN w:val="0"/>
              <w:adjustRightInd w:val="0"/>
              <w:ind w:left="-22" w:right="60"/>
              <w:jc w:val="right"/>
              <w:rPr>
                <w:color w:val="000000"/>
                <w:sz w:val="12"/>
                <w:szCs w:val="12"/>
              </w:rPr>
            </w:pPr>
            <w:r w:rsidRPr="002815C5">
              <w:rPr>
                <w:color w:val="000000"/>
                <w:sz w:val="12"/>
                <w:szCs w:val="12"/>
              </w:rPr>
              <w:t>26.473</w:t>
            </w:r>
          </w:p>
        </w:tc>
        <w:tc>
          <w:tcPr>
            <w:tcW w:w="425" w:type="dxa"/>
            <w:shd w:val="clear" w:color="auto" w:fill="auto"/>
            <w:vAlign w:val="center"/>
          </w:tcPr>
          <w:p w14:paraId="08A82102" w14:textId="77777777" w:rsidR="002815C5" w:rsidRPr="002815C5" w:rsidRDefault="002815C5" w:rsidP="007646AE">
            <w:pPr>
              <w:autoSpaceDE w:val="0"/>
              <w:autoSpaceDN w:val="0"/>
              <w:adjustRightInd w:val="0"/>
              <w:ind w:right="60"/>
              <w:jc w:val="right"/>
              <w:rPr>
                <w:color w:val="000000"/>
                <w:sz w:val="12"/>
                <w:szCs w:val="12"/>
              </w:rPr>
            </w:pPr>
            <w:r w:rsidRPr="002815C5">
              <w:rPr>
                <w:color w:val="000000"/>
                <w:sz w:val="12"/>
                <w:szCs w:val="12"/>
              </w:rPr>
              <w:t>.000</w:t>
            </w:r>
          </w:p>
        </w:tc>
        <w:tc>
          <w:tcPr>
            <w:tcW w:w="709" w:type="dxa"/>
            <w:shd w:val="clear" w:color="auto" w:fill="auto"/>
            <w:vAlign w:val="center"/>
          </w:tcPr>
          <w:p w14:paraId="3506FE1A" w14:textId="77777777" w:rsidR="002815C5" w:rsidRPr="002815C5" w:rsidRDefault="002815C5" w:rsidP="007646AE">
            <w:pPr>
              <w:autoSpaceDE w:val="0"/>
              <w:autoSpaceDN w:val="0"/>
              <w:adjustRightInd w:val="0"/>
              <w:rPr>
                <w:sz w:val="12"/>
                <w:szCs w:val="12"/>
              </w:rPr>
            </w:pPr>
          </w:p>
        </w:tc>
        <w:tc>
          <w:tcPr>
            <w:tcW w:w="425" w:type="dxa"/>
            <w:shd w:val="clear" w:color="auto" w:fill="auto"/>
            <w:vAlign w:val="center"/>
          </w:tcPr>
          <w:p w14:paraId="684F0402" w14:textId="77777777" w:rsidR="002815C5" w:rsidRPr="002815C5" w:rsidRDefault="002815C5" w:rsidP="007646AE">
            <w:pPr>
              <w:autoSpaceDE w:val="0"/>
              <w:autoSpaceDN w:val="0"/>
              <w:adjustRightInd w:val="0"/>
              <w:rPr>
                <w:sz w:val="12"/>
                <w:szCs w:val="12"/>
              </w:rPr>
            </w:pPr>
          </w:p>
        </w:tc>
      </w:tr>
      <w:tr w:rsidR="002815C5" w:rsidRPr="002815C5" w14:paraId="1801CB83" w14:textId="77777777" w:rsidTr="007646AE">
        <w:trPr>
          <w:cantSplit/>
          <w:trHeight w:val="99"/>
        </w:trPr>
        <w:tc>
          <w:tcPr>
            <w:tcW w:w="137" w:type="dxa"/>
            <w:vMerge/>
            <w:shd w:val="clear" w:color="auto" w:fill="auto"/>
          </w:tcPr>
          <w:p w14:paraId="1E90900D" w14:textId="77777777" w:rsidR="002815C5" w:rsidRPr="002815C5" w:rsidRDefault="002815C5" w:rsidP="007646AE">
            <w:pPr>
              <w:autoSpaceDE w:val="0"/>
              <w:autoSpaceDN w:val="0"/>
              <w:adjustRightInd w:val="0"/>
              <w:rPr>
                <w:sz w:val="12"/>
                <w:szCs w:val="12"/>
              </w:rPr>
            </w:pPr>
          </w:p>
        </w:tc>
        <w:tc>
          <w:tcPr>
            <w:tcW w:w="709" w:type="dxa"/>
            <w:shd w:val="clear" w:color="auto" w:fill="auto"/>
          </w:tcPr>
          <w:p w14:paraId="2AF30A95" w14:textId="77777777" w:rsidR="002815C5" w:rsidRPr="002815C5" w:rsidRDefault="002815C5" w:rsidP="007646AE">
            <w:pPr>
              <w:autoSpaceDE w:val="0"/>
              <w:autoSpaceDN w:val="0"/>
              <w:adjustRightInd w:val="0"/>
              <w:ind w:left="60" w:right="60"/>
              <w:rPr>
                <w:color w:val="000000"/>
                <w:sz w:val="12"/>
                <w:szCs w:val="12"/>
              </w:rPr>
            </w:pPr>
            <w:r w:rsidRPr="002815C5">
              <w:rPr>
                <w:color w:val="000000"/>
                <w:sz w:val="12"/>
                <w:szCs w:val="12"/>
              </w:rPr>
              <w:t>ROA</w:t>
            </w:r>
          </w:p>
        </w:tc>
        <w:tc>
          <w:tcPr>
            <w:tcW w:w="567" w:type="dxa"/>
            <w:shd w:val="clear" w:color="auto" w:fill="auto"/>
            <w:vAlign w:val="center"/>
          </w:tcPr>
          <w:p w14:paraId="48E9B106"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-.955</w:t>
            </w:r>
          </w:p>
        </w:tc>
        <w:tc>
          <w:tcPr>
            <w:tcW w:w="567" w:type="dxa"/>
            <w:shd w:val="clear" w:color="auto" w:fill="auto"/>
            <w:vAlign w:val="center"/>
          </w:tcPr>
          <w:p w14:paraId="4839042D"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.141</w:t>
            </w:r>
          </w:p>
        </w:tc>
        <w:tc>
          <w:tcPr>
            <w:tcW w:w="850" w:type="dxa"/>
            <w:shd w:val="clear" w:color="auto" w:fill="auto"/>
            <w:vAlign w:val="center"/>
          </w:tcPr>
          <w:p w14:paraId="4E6219C0"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-.409</w:t>
            </w:r>
          </w:p>
        </w:tc>
        <w:tc>
          <w:tcPr>
            <w:tcW w:w="426" w:type="dxa"/>
            <w:shd w:val="clear" w:color="auto" w:fill="auto"/>
            <w:vAlign w:val="center"/>
          </w:tcPr>
          <w:p w14:paraId="2482A7B4" w14:textId="77777777" w:rsidR="002815C5" w:rsidRPr="002815C5" w:rsidRDefault="002815C5" w:rsidP="007646AE">
            <w:pPr>
              <w:autoSpaceDE w:val="0"/>
              <w:autoSpaceDN w:val="0"/>
              <w:adjustRightInd w:val="0"/>
              <w:ind w:left="-22" w:right="60"/>
              <w:jc w:val="right"/>
              <w:rPr>
                <w:color w:val="000000"/>
                <w:sz w:val="12"/>
                <w:szCs w:val="12"/>
              </w:rPr>
            </w:pPr>
            <w:r w:rsidRPr="002815C5">
              <w:rPr>
                <w:color w:val="000000"/>
                <w:sz w:val="12"/>
                <w:szCs w:val="12"/>
              </w:rPr>
              <w:t>-6.776</w:t>
            </w:r>
          </w:p>
        </w:tc>
        <w:tc>
          <w:tcPr>
            <w:tcW w:w="425" w:type="dxa"/>
            <w:shd w:val="clear" w:color="auto" w:fill="auto"/>
            <w:vAlign w:val="center"/>
          </w:tcPr>
          <w:p w14:paraId="43686CC5" w14:textId="77777777" w:rsidR="002815C5" w:rsidRPr="002815C5" w:rsidRDefault="002815C5" w:rsidP="007646AE">
            <w:pPr>
              <w:autoSpaceDE w:val="0"/>
              <w:autoSpaceDN w:val="0"/>
              <w:adjustRightInd w:val="0"/>
              <w:ind w:right="60"/>
              <w:jc w:val="right"/>
              <w:rPr>
                <w:color w:val="000000"/>
                <w:sz w:val="12"/>
                <w:szCs w:val="12"/>
              </w:rPr>
            </w:pPr>
            <w:r w:rsidRPr="002815C5">
              <w:rPr>
                <w:color w:val="000000"/>
                <w:sz w:val="12"/>
                <w:szCs w:val="12"/>
              </w:rPr>
              <w:t>.000</w:t>
            </w:r>
          </w:p>
        </w:tc>
        <w:tc>
          <w:tcPr>
            <w:tcW w:w="709" w:type="dxa"/>
            <w:shd w:val="clear" w:color="auto" w:fill="auto"/>
            <w:vAlign w:val="center"/>
          </w:tcPr>
          <w:p w14:paraId="1821AD3E"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.228</w:t>
            </w:r>
          </w:p>
        </w:tc>
        <w:tc>
          <w:tcPr>
            <w:tcW w:w="425" w:type="dxa"/>
            <w:shd w:val="clear" w:color="auto" w:fill="auto"/>
            <w:vAlign w:val="center"/>
          </w:tcPr>
          <w:p w14:paraId="5EFFD7AC"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4.389</w:t>
            </w:r>
          </w:p>
        </w:tc>
      </w:tr>
      <w:tr w:rsidR="002815C5" w:rsidRPr="002815C5" w14:paraId="7BC40234" w14:textId="77777777" w:rsidTr="007646AE">
        <w:trPr>
          <w:cantSplit/>
          <w:trHeight w:val="99"/>
        </w:trPr>
        <w:tc>
          <w:tcPr>
            <w:tcW w:w="137" w:type="dxa"/>
            <w:vMerge/>
            <w:shd w:val="clear" w:color="auto" w:fill="auto"/>
          </w:tcPr>
          <w:p w14:paraId="17E914E4" w14:textId="77777777" w:rsidR="002815C5" w:rsidRPr="002815C5" w:rsidRDefault="002815C5" w:rsidP="007646AE">
            <w:pPr>
              <w:autoSpaceDE w:val="0"/>
              <w:autoSpaceDN w:val="0"/>
              <w:adjustRightInd w:val="0"/>
              <w:rPr>
                <w:color w:val="000000"/>
                <w:sz w:val="12"/>
                <w:szCs w:val="12"/>
              </w:rPr>
            </w:pPr>
          </w:p>
        </w:tc>
        <w:tc>
          <w:tcPr>
            <w:tcW w:w="709" w:type="dxa"/>
            <w:shd w:val="clear" w:color="auto" w:fill="auto"/>
          </w:tcPr>
          <w:p w14:paraId="63D3406C" w14:textId="77777777" w:rsidR="002815C5" w:rsidRPr="002815C5" w:rsidRDefault="002815C5" w:rsidP="007646AE">
            <w:pPr>
              <w:autoSpaceDE w:val="0"/>
              <w:autoSpaceDN w:val="0"/>
              <w:adjustRightInd w:val="0"/>
              <w:ind w:left="60" w:right="60"/>
              <w:rPr>
                <w:color w:val="000000"/>
                <w:sz w:val="12"/>
                <w:szCs w:val="12"/>
              </w:rPr>
            </w:pPr>
            <w:r w:rsidRPr="002815C5">
              <w:rPr>
                <w:color w:val="000000"/>
                <w:sz w:val="12"/>
                <w:szCs w:val="12"/>
              </w:rPr>
              <w:t>DER</w:t>
            </w:r>
          </w:p>
        </w:tc>
        <w:tc>
          <w:tcPr>
            <w:tcW w:w="567" w:type="dxa"/>
            <w:shd w:val="clear" w:color="auto" w:fill="auto"/>
            <w:vAlign w:val="center"/>
          </w:tcPr>
          <w:p w14:paraId="3A5B6805"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-1.396</w:t>
            </w:r>
          </w:p>
        </w:tc>
        <w:tc>
          <w:tcPr>
            <w:tcW w:w="567" w:type="dxa"/>
            <w:shd w:val="clear" w:color="auto" w:fill="auto"/>
            <w:vAlign w:val="center"/>
          </w:tcPr>
          <w:p w14:paraId="5FB25A29"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.139</w:t>
            </w:r>
          </w:p>
        </w:tc>
        <w:tc>
          <w:tcPr>
            <w:tcW w:w="850" w:type="dxa"/>
            <w:shd w:val="clear" w:color="auto" w:fill="auto"/>
            <w:vAlign w:val="center"/>
          </w:tcPr>
          <w:p w14:paraId="5839C8A2"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-.608</w:t>
            </w:r>
          </w:p>
        </w:tc>
        <w:tc>
          <w:tcPr>
            <w:tcW w:w="426" w:type="dxa"/>
            <w:shd w:val="clear" w:color="auto" w:fill="auto"/>
            <w:vAlign w:val="center"/>
          </w:tcPr>
          <w:p w14:paraId="3BD2E4B7" w14:textId="77777777" w:rsidR="002815C5" w:rsidRPr="002815C5" w:rsidRDefault="002815C5" w:rsidP="007646AE">
            <w:pPr>
              <w:autoSpaceDE w:val="0"/>
              <w:autoSpaceDN w:val="0"/>
              <w:adjustRightInd w:val="0"/>
              <w:ind w:left="-22" w:right="60"/>
              <w:jc w:val="right"/>
              <w:rPr>
                <w:color w:val="000000"/>
                <w:sz w:val="12"/>
                <w:szCs w:val="12"/>
              </w:rPr>
            </w:pPr>
            <w:r w:rsidRPr="002815C5">
              <w:rPr>
                <w:color w:val="000000"/>
                <w:sz w:val="12"/>
                <w:szCs w:val="12"/>
              </w:rPr>
              <w:t>-10.074</w:t>
            </w:r>
          </w:p>
        </w:tc>
        <w:tc>
          <w:tcPr>
            <w:tcW w:w="425" w:type="dxa"/>
            <w:shd w:val="clear" w:color="auto" w:fill="auto"/>
            <w:vAlign w:val="center"/>
          </w:tcPr>
          <w:p w14:paraId="249D0F9B" w14:textId="77777777" w:rsidR="002815C5" w:rsidRPr="002815C5" w:rsidRDefault="002815C5" w:rsidP="007646AE">
            <w:pPr>
              <w:autoSpaceDE w:val="0"/>
              <w:autoSpaceDN w:val="0"/>
              <w:adjustRightInd w:val="0"/>
              <w:ind w:right="60"/>
              <w:jc w:val="right"/>
              <w:rPr>
                <w:color w:val="000000"/>
                <w:sz w:val="12"/>
                <w:szCs w:val="12"/>
              </w:rPr>
            </w:pPr>
            <w:r w:rsidRPr="002815C5">
              <w:rPr>
                <w:color w:val="000000"/>
                <w:sz w:val="12"/>
                <w:szCs w:val="12"/>
              </w:rPr>
              <w:t>.000</w:t>
            </w:r>
          </w:p>
        </w:tc>
        <w:tc>
          <w:tcPr>
            <w:tcW w:w="709" w:type="dxa"/>
            <w:shd w:val="clear" w:color="auto" w:fill="auto"/>
            <w:vAlign w:val="center"/>
          </w:tcPr>
          <w:p w14:paraId="386C7FF5"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.228</w:t>
            </w:r>
          </w:p>
        </w:tc>
        <w:tc>
          <w:tcPr>
            <w:tcW w:w="425" w:type="dxa"/>
            <w:shd w:val="clear" w:color="auto" w:fill="auto"/>
            <w:vAlign w:val="center"/>
          </w:tcPr>
          <w:p w14:paraId="35759AE5" w14:textId="77777777" w:rsidR="002815C5" w:rsidRPr="002815C5" w:rsidRDefault="002815C5" w:rsidP="007646AE">
            <w:pPr>
              <w:autoSpaceDE w:val="0"/>
              <w:autoSpaceDN w:val="0"/>
              <w:adjustRightInd w:val="0"/>
              <w:ind w:left="60" w:right="60"/>
              <w:jc w:val="right"/>
              <w:rPr>
                <w:color w:val="000000"/>
                <w:sz w:val="12"/>
                <w:szCs w:val="12"/>
              </w:rPr>
            </w:pPr>
            <w:r w:rsidRPr="002815C5">
              <w:rPr>
                <w:color w:val="000000"/>
                <w:sz w:val="12"/>
                <w:szCs w:val="12"/>
              </w:rPr>
              <w:t>4.389</w:t>
            </w:r>
          </w:p>
        </w:tc>
      </w:tr>
      <w:bookmarkEnd w:id="0"/>
    </w:tbl>
    <w:p w14:paraId="239A0C60" w14:textId="77777777" w:rsidR="002815C5" w:rsidRDefault="002815C5" w:rsidP="002815C5">
      <w:pPr>
        <w:widowControl w:val="0"/>
        <w:autoSpaceDE w:val="0"/>
        <w:spacing w:line="247" w:lineRule="auto"/>
        <w:ind w:right="-1"/>
        <w:rPr>
          <w:spacing w:val="-2"/>
          <w:lang w:val="en-ID"/>
        </w:rPr>
      </w:pPr>
    </w:p>
    <w:p w14:paraId="324299FA" w14:textId="42DF5779" w:rsidR="007E3081" w:rsidRDefault="002815C5" w:rsidP="007E3081">
      <w:pPr>
        <w:widowControl w:val="0"/>
        <w:autoSpaceDE w:val="0"/>
        <w:spacing w:line="247" w:lineRule="auto"/>
        <w:ind w:right="-1" w:firstLine="567"/>
        <w:rPr>
          <w:spacing w:val="-2"/>
        </w:rPr>
      </w:pPr>
      <w:r w:rsidRPr="002815C5">
        <w:rPr>
          <w:spacing w:val="-2"/>
        </w:rPr>
        <w:t xml:space="preserve">Berdasarkan hasil analisis tabel </w:t>
      </w:r>
      <w:r>
        <w:rPr>
          <w:spacing w:val="-2"/>
        </w:rPr>
        <w:t>2</w:t>
      </w:r>
      <w:r w:rsidRPr="002815C5">
        <w:rPr>
          <w:spacing w:val="-2"/>
        </w:rPr>
        <w:t xml:space="preserve"> dengan 36 data sampel, diketahui bahwa semua nilai VIF berada di bawah 10 dan nilai tolerance di atas 0,1. Ini menunjukkan bahwa tidak terjadi multikolinearitas antar variabel independen dalam regresi pada penelitian ini.</w:t>
      </w:r>
    </w:p>
    <w:p w14:paraId="1326B6E0" w14:textId="0093863C" w:rsidR="007E3081" w:rsidRPr="007E3081" w:rsidRDefault="007E3081" w:rsidP="007E3081">
      <w:pPr>
        <w:widowControl w:val="0"/>
        <w:autoSpaceDE w:val="0"/>
        <w:spacing w:line="247" w:lineRule="auto"/>
        <w:ind w:right="-1"/>
        <w:rPr>
          <w:spacing w:val="-2"/>
        </w:rPr>
      </w:pPr>
    </w:p>
    <w:p w14:paraId="56979BE5" w14:textId="4B07C00C" w:rsidR="007E3081" w:rsidRDefault="007E3081" w:rsidP="003416BB">
      <w:pPr>
        <w:pStyle w:val="ListParagraph"/>
        <w:widowControl w:val="0"/>
        <w:numPr>
          <w:ilvl w:val="0"/>
          <w:numId w:val="5"/>
        </w:numPr>
        <w:autoSpaceDE w:val="0"/>
        <w:spacing w:after="0" w:line="247" w:lineRule="auto"/>
        <w:ind w:right="-1"/>
        <w:jc w:val="both"/>
        <w:rPr>
          <w:rFonts w:ascii="Times New Roman" w:hAnsi="Times New Roman"/>
          <w:spacing w:val="-2"/>
          <w:sz w:val="20"/>
          <w:szCs w:val="20"/>
        </w:rPr>
      </w:pPr>
      <w:r>
        <w:rPr>
          <w:rFonts w:ascii="Times New Roman" w:hAnsi="Times New Roman"/>
          <w:spacing w:val="-2"/>
          <w:sz w:val="20"/>
          <w:szCs w:val="20"/>
        </w:rPr>
        <w:t xml:space="preserve">Uji </w:t>
      </w:r>
      <w:r w:rsidR="002815C5">
        <w:rPr>
          <w:rFonts w:ascii="Times New Roman" w:hAnsi="Times New Roman"/>
          <w:spacing w:val="-2"/>
          <w:sz w:val="20"/>
          <w:szCs w:val="20"/>
        </w:rPr>
        <w:t>Heteroskedastisitas</w:t>
      </w:r>
    </w:p>
    <w:p w14:paraId="26B9B676" w14:textId="6E291D55" w:rsidR="007E3081" w:rsidRDefault="007646AE" w:rsidP="007E3081">
      <w:pPr>
        <w:widowControl w:val="0"/>
        <w:autoSpaceDE w:val="0"/>
        <w:spacing w:line="247" w:lineRule="auto"/>
        <w:ind w:right="-1"/>
        <w:rPr>
          <w:spacing w:val="-2"/>
          <w:sz w:val="18"/>
          <w:szCs w:val="18"/>
        </w:rPr>
      </w:pPr>
      <w:r>
        <w:rPr>
          <w:spacing w:val="-2"/>
          <w:sz w:val="18"/>
          <w:szCs w:val="18"/>
        </w:rPr>
        <w:t>Tabel 3</w:t>
      </w:r>
      <w:r w:rsidR="007E3081">
        <w:rPr>
          <w:spacing w:val="-2"/>
          <w:sz w:val="18"/>
          <w:szCs w:val="18"/>
        </w:rPr>
        <w:t xml:space="preserve">. Uji </w:t>
      </w:r>
      <w:r w:rsidR="002815C5" w:rsidRPr="002815C5">
        <w:rPr>
          <w:spacing w:val="-2"/>
          <w:sz w:val="18"/>
          <w:szCs w:val="18"/>
        </w:rPr>
        <w:t>Heteroskedastisitas</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7"/>
        <w:gridCol w:w="425"/>
        <w:gridCol w:w="1276"/>
        <w:gridCol w:w="504"/>
        <w:gridCol w:w="567"/>
        <w:gridCol w:w="567"/>
      </w:tblGrid>
      <w:tr w:rsidR="007646AE" w:rsidRPr="007646AE" w14:paraId="4E3E4305" w14:textId="77777777" w:rsidTr="007646AE">
        <w:trPr>
          <w:cantSplit/>
          <w:trHeight w:val="303"/>
          <w:jc w:val="center"/>
        </w:trPr>
        <w:tc>
          <w:tcPr>
            <w:tcW w:w="2468" w:type="dxa"/>
            <w:gridSpan w:val="3"/>
            <w:shd w:val="clear" w:color="auto" w:fill="auto"/>
            <w:vAlign w:val="bottom"/>
          </w:tcPr>
          <w:p w14:paraId="0FD118EC" w14:textId="77777777" w:rsidR="007646AE" w:rsidRPr="007646AE" w:rsidRDefault="007646AE" w:rsidP="009344CD">
            <w:pPr>
              <w:autoSpaceDE w:val="0"/>
              <w:autoSpaceDN w:val="0"/>
              <w:adjustRightInd w:val="0"/>
              <w:jc w:val="center"/>
              <w:rPr>
                <w:sz w:val="14"/>
                <w:szCs w:val="14"/>
              </w:rPr>
            </w:pPr>
          </w:p>
        </w:tc>
        <w:tc>
          <w:tcPr>
            <w:tcW w:w="504" w:type="dxa"/>
            <w:shd w:val="clear" w:color="auto" w:fill="auto"/>
            <w:vAlign w:val="bottom"/>
          </w:tcPr>
          <w:p w14:paraId="63B5D87E"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X1</w:t>
            </w:r>
          </w:p>
        </w:tc>
        <w:tc>
          <w:tcPr>
            <w:tcW w:w="567" w:type="dxa"/>
            <w:shd w:val="clear" w:color="auto" w:fill="auto"/>
            <w:vAlign w:val="bottom"/>
          </w:tcPr>
          <w:p w14:paraId="523F53E8"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X2</w:t>
            </w:r>
          </w:p>
        </w:tc>
        <w:tc>
          <w:tcPr>
            <w:tcW w:w="567" w:type="dxa"/>
            <w:shd w:val="clear" w:color="auto" w:fill="auto"/>
            <w:vAlign w:val="bottom"/>
          </w:tcPr>
          <w:p w14:paraId="6282C7F7"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RES1</w:t>
            </w:r>
          </w:p>
        </w:tc>
      </w:tr>
      <w:tr w:rsidR="007646AE" w:rsidRPr="007646AE" w14:paraId="1F2C0164" w14:textId="77777777" w:rsidTr="007646AE">
        <w:trPr>
          <w:cantSplit/>
          <w:trHeight w:val="287"/>
          <w:jc w:val="center"/>
        </w:trPr>
        <w:tc>
          <w:tcPr>
            <w:tcW w:w="767" w:type="dxa"/>
            <w:vMerge w:val="restart"/>
            <w:shd w:val="clear" w:color="auto" w:fill="auto"/>
          </w:tcPr>
          <w:p w14:paraId="459DED0F"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Spearman's rho</w:t>
            </w:r>
          </w:p>
        </w:tc>
        <w:tc>
          <w:tcPr>
            <w:tcW w:w="425" w:type="dxa"/>
            <w:vMerge w:val="restart"/>
            <w:shd w:val="clear" w:color="auto" w:fill="auto"/>
          </w:tcPr>
          <w:p w14:paraId="569C34E9"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X1</w:t>
            </w:r>
          </w:p>
        </w:tc>
        <w:tc>
          <w:tcPr>
            <w:tcW w:w="1276" w:type="dxa"/>
            <w:shd w:val="clear" w:color="auto" w:fill="auto"/>
          </w:tcPr>
          <w:p w14:paraId="41A6AE07"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Correlation Coefficient</w:t>
            </w:r>
          </w:p>
        </w:tc>
        <w:tc>
          <w:tcPr>
            <w:tcW w:w="504" w:type="dxa"/>
            <w:shd w:val="clear" w:color="auto" w:fill="auto"/>
            <w:vAlign w:val="center"/>
          </w:tcPr>
          <w:p w14:paraId="326F2526"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1.000</w:t>
            </w:r>
          </w:p>
        </w:tc>
        <w:tc>
          <w:tcPr>
            <w:tcW w:w="567" w:type="dxa"/>
            <w:shd w:val="clear" w:color="auto" w:fill="auto"/>
            <w:vAlign w:val="center"/>
          </w:tcPr>
          <w:p w14:paraId="6CF0FE24"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.512</w:t>
            </w:r>
            <w:r w:rsidRPr="007646AE">
              <w:rPr>
                <w:color w:val="000000"/>
                <w:sz w:val="14"/>
                <w:szCs w:val="14"/>
                <w:vertAlign w:val="superscript"/>
              </w:rPr>
              <w:t>**</w:t>
            </w:r>
          </w:p>
        </w:tc>
        <w:tc>
          <w:tcPr>
            <w:tcW w:w="567" w:type="dxa"/>
            <w:shd w:val="clear" w:color="auto" w:fill="auto"/>
            <w:vAlign w:val="center"/>
          </w:tcPr>
          <w:p w14:paraId="74529506"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-.129</w:t>
            </w:r>
          </w:p>
        </w:tc>
      </w:tr>
      <w:tr w:rsidR="007646AE" w:rsidRPr="007646AE" w14:paraId="51D13F45" w14:textId="77777777" w:rsidTr="007646AE">
        <w:trPr>
          <w:cantSplit/>
          <w:trHeight w:val="130"/>
          <w:jc w:val="center"/>
        </w:trPr>
        <w:tc>
          <w:tcPr>
            <w:tcW w:w="767" w:type="dxa"/>
            <w:vMerge/>
            <w:shd w:val="clear" w:color="auto" w:fill="auto"/>
          </w:tcPr>
          <w:p w14:paraId="763E16B1" w14:textId="77777777" w:rsidR="007646AE" w:rsidRPr="007646AE" w:rsidRDefault="007646AE" w:rsidP="009344CD">
            <w:pPr>
              <w:autoSpaceDE w:val="0"/>
              <w:autoSpaceDN w:val="0"/>
              <w:adjustRightInd w:val="0"/>
              <w:rPr>
                <w:color w:val="000000"/>
                <w:sz w:val="14"/>
                <w:szCs w:val="14"/>
              </w:rPr>
            </w:pPr>
          </w:p>
        </w:tc>
        <w:tc>
          <w:tcPr>
            <w:tcW w:w="425" w:type="dxa"/>
            <w:vMerge/>
            <w:shd w:val="clear" w:color="auto" w:fill="auto"/>
          </w:tcPr>
          <w:p w14:paraId="46F97B70" w14:textId="77777777" w:rsidR="007646AE" w:rsidRPr="007646AE" w:rsidRDefault="007646AE" w:rsidP="009344CD">
            <w:pPr>
              <w:autoSpaceDE w:val="0"/>
              <w:autoSpaceDN w:val="0"/>
              <w:adjustRightInd w:val="0"/>
              <w:rPr>
                <w:color w:val="000000"/>
                <w:sz w:val="14"/>
                <w:szCs w:val="14"/>
              </w:rPr>
            </w:pPr>
          </w:p>
        </w:tc>
        <w:tc>
          <w:tcPr>
            <w:tcW w:w="1276" w:type="dxa"/>
            <w:shd w:val="clear" w:color="auto" w:fill="auto"/>
          </w:tcPr>
          <w:p w14:paraId="6C014A55"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Sig. (2-tailed)</w:t>
            </w:r>
          </w:p>
        </w:tc>
        <w:tc>
          <w:tcPr>
            <w:tcW w:w="504" w:type="dxa"/>
            <w:shd w:val="clear" w:color="auto" w:fill="auto"/>
            <w:vAlign w:val="center"/>
          </w:tcPr>
          <w:p w14:paraId="088D8622"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w:t>
            </w:r>
          </w:p>
        </w:tc>
        <w:tc>
          <w:tcPr>
            <w:tcW w:w="567" w:type="dxa"/>
            <w:shd w:val="clear" w:color="auto" w:fill="auto"/>
            <w:vAlign w:val="center"/>
          </w:tcPr>
          <w:p w14:paraId="385F8584"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.001</w:t>
            </w:r>
          </w:p>
        </w:tc>
        <w:tc>
          <w:tcPr>
            <w:tcW w:w="567" w:type="dxa"/>
            <w:shd w:val="clear" w:color="auto" w:fill="auto"/>
            <w:vAlign w:val="center"/>
          </w:tcPr>
          <w:p w14:paraId="4391F783"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.453</w:t>
            </w:r>
          </w:p>
        </w:tc>
      </w:tr>
      <w:tr w:rsidR="007646AE" w:rsidRPr="007646AE" w14:paraId="7C68951D" w14:textId="77777777" w:rsidTr="007646AE">
        <w:trPr>
          <w:cantSplit/>
          <w:trHeight w:val="130"/>
          <w:jc w:val="center"/>
        </w:trPr>
        <w:tc>
          <w:tcPr>
            <w:tcW w:w="767" w:type="dxa"/>
            <w:vMerge/>
            <w:shd w:val="clear" w:color="auto" w:fill="auto"/>
          </w:tcPr>
          <w:p w14:paraId="63751C5F" w14:textId="77777777" w:rsidR="007646AE" w:rsidRPr="007646AE" w:rsidRDefault="007646AE" w:rsidP="009344CD">
            <w:pPr>
              <w:autoSpaceDE w:val="0"/>
              <w:autoSpaceDN w:val="0"/>
              <w:adjustRightInd w:val="0"/>
              <w:rPr>
                <w:color w:val="000000"/>
                <w:sz w:val="14"/>
                <w:szCs w:val="14"/>
              </w:rPr>
            </w:pPr>
          </w:p>
        </w:tc>
        <w:tc>
          <w:tcPr>
            <w:tcW w:w="425" w:type="dxa"/>
            <w:vMerge/>
            <w:shd w:val="clear" w:color="auto" w:fill="auto"/>
          </w:tcPr>
          <w:p w14:paraId="1ECE4E57" w14:textId="77777777" w:rsidR="007646AE" w:rsidRPr="007646AE" w:rsidRDefault="007646AE" w:rsidP="009344CD">
            <w:pPr>
              <w:autoSpaceDE w:val="0"/>
              <w:autoSpaceDN w:val="0"/>
              <w:adjustRightInd w:val="0"/>
              <w:rPr>
                <w:color w:val="000000"/>
                <w:sz w:val="14"/>
                <w:szCs w:val="14"/>
              </w:rPr>
            </w:pPr>
          </w:p>
        </w:tc>
        <w:tc>
          <w:tcPr>
            <w:tcW w:w="1276" w:type="dxa"/>
            <w:shd w:val="clear" w:color="auto" w:fill="auto"/>
          </w:tcPr>
          <w:p w14:paraId="6BA033AC"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N</w:t>
            </w:r>
          </w:p>
        </w:tc>
        <w:tc>
          <w:tcPr>
            <w:tcW w:w="504" w:type="dxa"/>
            <w:shd w:val="clear" w:color="auto" w:fill="auto"/>
            <w:vAlign w:val="center"/>
          </w:tcPr>
          <w:p w14:paraId="7BEB460A"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c>
          <w:tcPr>
            <w:tcW w:w="567" w:type="dxa"/>
            <w:shd w:val="clear" w:color="auto" w:fill="auto"/>
            <w:vAlign w:val="center"/>
          </w:tcPr>
          <w:p w14:paraId="0BEAF7E1"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c>
          <w:tcPr>
            <w:tcW w:w="567" w:type="dxa"/>
            <w:shd w:val="clear" w:color="auto" w:fill="auto"/>
            <w:vAlign w:val="center"/>
          </w:tcPr>
          <w:p w14:paraId="50342B29"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r>
      <w:tr w:rsidR="007646AE" w:rsidRPr="007646AE" w14:paraId="618DB693" w14:textId="77777777" w:rsidTr="007646AE">
        <w:trPr>
          <w:cantSplit/>
          <w:trHeight w:val="130"/>
          <w:jc w:val="center"/>
        </w:trPr>
        <w:tc>
          <w:tcPr>
            <w:tcW w:w="767" w:type="dxa"/>
            <w:vMerge/>
            <w:shd w:val="clear" w:color="auto" w:fill="auto"/>
          </w:tcPr>
          <w:p w14:paraId="532D75D7" w14:textId="77777777" w:rsidR="007646AE" w:rsidRPr="007646AE" w:rsidRDefault="007646AE" w:rsidP="009344CD">
            <w:pPr>
              <w:autoSpaceDE w:val="0"/>
              <w:autoSpaceDN w:val="0"/>
              <w:adjustRightInd w:val="0"/>
              <w:rPr>
                <w:color w:val="000000"/>
                <w:sz w:val="14"/>
                <w:szCs w:val="14"/>
              </w:rPr>
            </w:pPr>
          </w:p>
        </w:tc>
        <w:tc>
          <w:tcPr>
            <w:tcW w:w="425" w:type="dxa"/>
            <w:vMerge w:val="restart"/>
            <w:shd w:val="clear" w:color="auto" w:fill="auto"/>
          </w:tcPr>
          <w:p w14:paraId="120EA023"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X2</w:t>
            </w:r>
          </w:p>
        </w:tc>
        <w:tc>
          <w:tcPr>
            <w:tcW w:w="1276" w:type="dxa"/>
            <w:shd w:val="clear" w:color="auto" w:fill="auto"/>
          </w:tcPr>
          <w:p w14:paraId="562208D3"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Correlation Coefficient</w:t>
            </w:r>
          </w:p>
        </w:tc>
        <w:tc>
          <w:tcPr>
            <w:tcW w:w="504" w:type="dxa"/>
            <w:shd w:val="clear" w:color="auto" w:fill="auto"/>
            <w:vAlign w:val="center"/>
          </w:tcPr>
          <w:p w14:paraId="72B963A3"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.512</w:t>
            </w:r>
            <w:r w:rsidRPr="007646AE">
              <w:rPr>
                <w:color w:val="000000"/>
                <w:sz w:val="14"/>
                <w:szCs w:val="14"/>
                <w:vertAlign w:val="superscript"/>
              </w:rPr>
              <w:t>**</w:t>
            </w:r>
          </w:p>
        </w:tc>
        <w:tc>
          <w:tcPr>
            <w:tcW w:w="567" w:type="dxa"/>
            <w:shd w:val="clear" w:color="auto" w:fill="auto"/>
            <w:vAlign w:val="center"/>
          </w:tcPr>
          <w:p w14:paraId="4D304E03"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1.000</w:t>
            </w:r>
          </w:p>
        </w:tc>
        <w:tc>
          <w:tcPr>
            <w:tcW w:w="567" w:type="dxa"/>
            <w:shd w:val="clear" w:color="auto" w:fill="auto"/>
            <w:vAlign w:val="center"/>
          </w:tcPr>
          <w:p w14:paraId="512DB536"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-.013</w:t>
            </w:r>
          </w:p>
        </w:tc>
      </w:tr>
      <w:tr w:rsidR="007646AE" w:rsidRPr="007646AE" w14:paraId="2C8012C7" w14:textId="77777777" w:rsidTr="007646AE">
        <w:trPr>
          <w:cantSplit/>
          <w:trHeight w:val="130"/>
          <w:jc w:val="center"/>
        </w:trPr>
        <w:tc>
          <w:tcPr>
            <w:tcW w:w="767" w:type="dxa"/>
            <w:vMerge/>
            <w:shd w:val="clear" w:color="auto" w:fill="auto"/>
          </w:tcPr>
          <w:p w14:paraId="14A21D11" w14:textId="77777777" w:rsidR="007646AE" w:rsidRPr="007646AE" w:rsidRDefault="007646AE" w:rsidP="009344CD">
            <w:pPr>
              <w:autoSpaceDE w:val="0"/>
              <w:autoSpaceDN w:val="0"/>
              <w:adjustRightInd w:val="0"/>
              <w:rPr>
                <w:color w:val="000000"/>
                <w:sz w:val="14"/>
                <w:szCs w:val="14"/>
              </w:rPr>
            </w:pPr>
          </w:p>
        </w:tc>
        <w:tc>
          <w:tcPr>
            <w:tcW w:w="425" w:type="dxa"/>
            <w:vMerge/>
            <w:shd w:val="clear" w:color="auto" w:fill="auto"/>
          </w:tcPr>
          <w:p w14:paraId="2A41CBBA" w14:textId="77777777" w:rsidR="007646AE" w:rsidRPr="007646AE" w:rsidRDefault="007646AE" w:rsidP="009344CD">
            <w:pPr>
              <w:autoSpaceDE w:val="0"/>
              <w:autoSpaceDN w:val="0"/>
              <w:adjustRightInd w:val="0"/>
              <w:rPr>
                <w:color w:val="000000"/>
                <w:sz w:val="14"/>
                <w:szCs w:val="14"/>
              </w:rPr>
            </w:pPr>
          </w:p>
        </w:tc>
        <w:tc>
          <w:tcPr>
            <w:tcW w:w="1276" w:type="dxa"/>
            <w:shd w:val="clear" w:color="auto" w:fill="auto"/>
          </w:tcPr>
          <w:p w14:paraId="39315B0A"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Sig. (2-tailed)</w:t>
            </w:r>
          </w:p>
        </w:tc>
        <w:tc>
          <w:tcPr>
            <w:tcW w:w="504" w:type="dxa"/>
            <w:shd w:val="clear" w:color="auto" w:fill="auto"/>
            <w:vAlign w:val="center"/>
          </w:tcPr>
          <w:p w14:paraId="357E5883"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.001</w:t>
            </w:r>
          </w:p>
        </w:tc>
        <w:tc>
          <w:tcPr>
            <w:tcW w:w="567" w:type="dxa"/>
            <w:shd w:val="clear" w:color="auto" w:fill="auto"/>
            <w:vAlign w:val="center"/>
          </w:tcPr>
          <w:p w14:paraId="4B16772D"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w:t>
            </w:r>
          </w:p>
        </w:tc>
        <w:tc>
          <w:tcPr>
            <w:tcW w:w="567" w:type="dxa"/>
            <w:shd w:val="clear" w:color="auto" w:fill="auto"/>
            <w:vAlign w:val="center"/>
          </w:tcPr>
          <w:p w14:paraId="37E6CE2B"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.938</w:t>
            </w:r>
          </w:p>
        </w:tc>
      </w:tr>
      <w:tr w:rsidR="007646AE" w:rsidRPr="007646AE" w14:paraId="33C5F13C" w14:textId="77777777" w:rsidTr="007646AE">
        <w:trPr>
          <w:cantSplit/>
          <w:trHeight w:val="130"/>
          <w:jc w:val="center"/>
        </w:trPr>
        <w:tc>
          <w:tcPr>
            <w:tcW w:w="767" w:type="dxa"/>
            <w:vMerge/>
            <w:shd w:val="clear" w:color="auto" w:fill="auto"/>
          </w:tcPr>
          <w:p w14:paraId="485D16E3" w14:textId="77777777" w:rsidR="007646AE" w:rsidRPr="007646AE" w:rsidRDefault="007646AE" w:rsidP="009344CD">
            <w:pPr>
              <w:autoSpaceDE w:val="0"/>
              <w:autoSpaceDN w:val="0"/>
              <w:adjustRightInd w:val="0"/>
              <w:rPr>
                <w:color w:val="000000"/>
                <w:sz w:val="14"/>
                <w:szCs w:val="14"/>
              </w:rPr>
            </w:pPr>
          </w:p>
        </w:tc>
        <w:tc>
          <w:tcPr>
            <w:tcW w:w="425" w:type="dxa"/>
            <w:vMerge/>
            <w:shd w:val="clear" w:color="auto" w:fill="auto"/>
          </w:tcPr>
          <w:p w14:paraId="3643DDF4" w14:textId="77777777" w:rsidR="007646AE" w:rsidRPr="007646AE" w:rsidRDefault="007646AE" w:rsidP="009344CD">
            <w:pPr>
              <w:autoSpaceDE w:val="0"/>
              <w:autoSpaceDN w:val="0"/>
              <w:adjustRightInd w:val="0"/>
              <w:rPr>
                <w:color w:val="000000"/>
                <w:sz w:val="14"/>
                <w:szCs w:val="14"/>
              </w:rPr>
            </w:pPr>
          </w:p>
        </w:tc>
        <w:tc>
          <w:tcPr>
            <w:tcW w:w="1276" w:type="dxa"/>
            <w:shd w:val="clear" w:color="auto" w:fill="auto"/>
          </w:tcPr>
          <w:p w14:paraId="64A6AB29"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N</w:t>
            </w:r>
          </w:p>
        </w:tc>
        <w:tc>
          <w:tcPr>
            <w:tcW w:w="504" w:type="dxa"/>
            <w:shd w:val="clear" w:color="auto" w:fill="auto"/>
            <w:vAlign w:val="center"/>
          </w:tcPr>
          <w:p w14:paraId="690135B5"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c>
          <w:tcPr>
            <w:tcW w:w="567" w:type="dxa"/>
            <w:shd w:val="clear" w:color="auto" w:fill="auto"/>
            <w:vAlign w:val="center"/>
          </w:tcPr>
          <w:p w14:paraId="6E765D95"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c>
          <w:tcPr>
            <w:tcW w:w="567" w:type="dxa"/>
            <w:shd w:val="clear" w:color="auto" w:fill="auto"/>
            <w:vAlign w:val="center"/>
          </w:tcPr>
          <w:p w14:paraId="4DF10E7F"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r>
      <w:tr w:rsidR="007646AE" w:rsidRPr="007646AE" w14:paraId="427749BA" w14:textId="77777777" w:rsidTr="007646AE">
        <w:trPr>
          <w:cantSplit/>
          <w:trHeight w:val="130"/>
          <w:jc w:val="center"/>
        </w:trPr>
        <w:tc>
          <w:tcPr>
            <w:tcW w:w="767" w:type="dxa"/>
            <w:vMerge/>
            <w:shd w:val="clear" w:color="auto" w:fill="auto"/>
          </w:tcPr>
          <w:p w14:paraId="4BC44F22" w14:textId="77777777" w:rsidR="007646AE" w:rsidRPr="007646AE" w:rsidRDefault="007646AE" w:rsidP="009344CD">
            <w:pPr>
              <w:autoSpaceDE w:val="0"/>
              <w:autoSpaceDN w:val="0"/>
              <w:adjustRightInd w:val="0"/>
              <w:rPr>
                <w:color w:val="000000"/>
                <w:sz w:val="14"/>
                <w:szCs w:val="14"/>
              </w:rPr>
            </w:pPr>
          </w:p>
        </w:tc>
        <w:tc>
          <w:tcPr>
            <w:tcW w:w="425" w:type="dxa"/>
            <w:vMerge w:val="restart"/>
            <w:shd w:val="clear" w:color="auto" w:fill="auto"/>
          </w:tcPr>
          <w:p w14:paraId="451C9801"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RES1</w:t>
            </w:r>
          </w:p>
        </w:tc>
        <w:tc>
          <w:tcPr>
            <w:tcW w:w="1276" w:type="dxa"/>
            <w:shd w:val="clear" w:color="auto" w:fill="auto"/>
          </w:tcPr>
          <w:p w14:paraId="7500313B"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Correlation Coefficient</w:t>
            </w:r>
          </w:p>
        </w:tc>
        <w:tc>
          <w:tcPr>
            <w:tcW w:w="504" w:type="dxa"/>
            <w:shd w:val="clear" w:color="auto" w:fill="auto"/>
            <w:vAlign w:val="center"/>
          </w:tcPr>
          <w:p w14:paraId="236DA098"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-.129</w:t>
            </w:r>
          </w:p>
        </w:tc>
        <w:tc>
          <w:tcPr>
            <w:tcW w:w="567" w:type="dxa"/>
            <w:shd w:val="clear" w:color="auto" w:fill="auto"/>
            <w:vAlign w:val="center"/>
          </w:tcPr>
          <w:p w14:paraId="3FB699F2"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-.013</w:t>
            </w:r>
          </w:p>
        </w:tc>
        <w:tc>
          <w:tcPr>
            <w:tcW w:w="567" w:type="dxa"/>
            <w:shd w:val="clear" w:color="auto" w:fill="auto"/>
            <w:vAlign w:val="center"/>
          </w:tcPr>
          <w:p w14:paraId="5B3CB1A1"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1.000</w:t>
            </w:r>
          </w:p>
        </w:tc>
      </w:tr>
      <w:tr w:rsidR="007646AE" w:rsidRPr="007646AE" w14:paraId="23526835" w14:textId="77777777" w:rsidTr="007646AE">
        <w:trPr>
          <w:cantSplit/>
          <w:trHeight w:val="130"/>
          <w:jc w:val="center"/>
        </w:trPr>
        <w:tc>
          <w:tcPr>
            <w:tcW w:w="767" w:type="dxa"/>
            <w:vMerge/>
            <w:shd w:val="clear" w:color="auto" w:fill="auto"/>
          </w:tcPr>
          <w:p w14:paraId="75542F0C" w14:textId="77777777" w:rsidR="007646AE" w:rsidRPr="007646AE" w:rsidRDefault="007646AE" w:rsidP="009344CD">
            <w:pPr>
              <w:autoSpaceDE w:val="0"/>
              <w:autoSpaceDN w:val="0"/>
              <w:adjustRightInd w:val="0"/>
              <w:rPr>
                <w:color w:val="000000"/>
                <w:sz w:val="14"/>
                <w:szCs w:val="14"/>
              </w:rPr>
            </w:pPr>
          </w:p>
        </w:tc>
        <w:tc>
          <w:tcPr>
            <w:tcW w:w="425" w:type="dxa"/>
            <w:vMerge/>
            <w:shd w:val="clear" w:color="auto" w:fill="auto"/>
          </w:tcPr>
          <w:p w14:paraId="399DCE54" w14:textId="77777777" w:rsidR="007646AE" w:rsidRPr="007646AE" w:rsidRDefault="007646AE" w:rsidP="009344CD">
            <w:pPr>
              <w:autoSpaceDE w:val="0"/>
              <w:autoSpaceDN w:val="0"/>
              <w:adjustRightInd w:val="0"/>
              <w:rPr>
                <w:color w:val="000000"/>
                <w:sz w:val="14"/>
                <w:szCs w:val="14"/>
              </w:rPr>
            </w:pPr>
          </w:p>
        </w:tc>
        <w:tc>
          <w:tcPr>
            <w:tcW w:w="1276" w:type="dxa"/>
            <w:shd w:val="clear" w:color="auto" w:fill="auto"/>
          </w:tcPr>
          <w:p w14:paraId="760146CD"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Sig. (2-tailed)</w:t>
            </w:r>
          </w:p>
        </w:tc>
        <w:tc>
          <w:tcPr>
            <w:tcW w:w="504" w:type="dxa"/>
            <w:shd w:val="clear" w:color="auto" w:fill="auto"/>
            <w:vAlign w:val="center"/>
          </w:tcPr>
          <w:p w14:paraId="2A0621F5"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.453</w:t>
            </w:r>
          </w:p>
        </w:tc>
        <w:tc>
          <w:tcPr>
            <w:tcW w:w="567" w:type="dxa"/>
            <w:shd w:val="clear" w:color="auto" w:fill="auto"/>
            <w:vAlign w:val="center"/>
          </w:tcPr>
          <w:p w14:paraId="485174AB"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.938</w:t>
            </w:r>
          </w:p>
        </w:tc>
        <w:tc>
          <w:tcPr>
            <w:tcW w:w="567" w:type="dxa"/>
            <w:shd w:val="clear" w:color="auto" w:fill="auto"/>
            <w:vAlign w:val="center"/>
          </w:tcPr>
          <w:p w14:paraId="77F59497"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w:t>
            </w:r>
          </w:p>
        </w:tc>
      </w:tr>
      <w:tr w:rsidR="007646AE" w:rsidRPr="007646AE" w14:paraId="6709378F" w14:textId="77777777" w:rsidTr="007646AE">
        <w:trPr>
          <w:cantSplit/>
          <w:trHeight w:val="130"/>
          <w:jc w:val="center"/>
        </w:trPr>
        <w:tc>
          <w:tcPr>
            <w:tcW w:w="767" w:type="dxa"/>
            <w:vMerge/>
            <w:shd w:val="clear" w:color="auto" w:fill="auto"/>
          </w:tcPr>
          <w:p w14:paraId="2B747CC4" w14:textId="77777777" w:rsidR="007646AE" w:rsidRPr="007646AE" w:rsidRDefault="007646AE" w:rsidP="009344CD">
            <w:pPr>
              <w:autoSpaceDE w:val="0"/>
              <w:autoSpaceDN w:val="0"/>
              <w:adjustRightInd w:val="0"/>
              <w:rPr>
                <w:color w:val="000000"/>
                <w:sz w:val="14"/>
                <w:szCs w:val="14"/>
              </w:rPr>
            </w:pPr>
          </w:p>
        </w:tc>
        <w:tc>
          <w:tcPr>
            <w:tcW w:w="425" w:type="dxa"/>
            <w:vMerge/>
            <w:shd w:val="clear" w:color="auto" w:fill="auto"/>
          </w:tcPr>
          <w:p w14:paraId="2EE337EE" w14:textId="77777777" w:rsidR="007646AE" w:rsidRPr="007646AE" w:rsidRDefault="007646AE" w:rsidP="009344CD">
            <w:pPr>
              <w:autoSpaceDE w:val="0"/>
              <w:autoSpaceDN w:val="0"/>
              <w:adjustRightInd w:val="0"/>
              <w:rPr>
                <w:color w:val="000000"/>
                <w:sz w:val="14"/>
                <w:szCs w:val="14"/>
              </w:rPr>
            </w:pPr>
          </w:p>
        </w:tc>
        <w:tc>
          <w:tcPr>
            <w:tcW w:w="1276" w:type="dxa"/>
            <w:shd w:val="clear" w:color="auto" w:fill="auto"/>
          </w:tcPr>
          <w:p w14:paraId="5DE57F4C"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N</w:t>
            </w:r>
          </w:p>
        </w:tc>
        <w:tc>
          <w:tcPr>
            <w:tcW w:w="504" w:type="dxa"/>
            <w:shd w:val="clear" w:color="auto" w:fill="auto"/>
            <w:vAlign w:val="center"/>
          </w:tcPr>
          <w:p w14:paraId="48517EA5"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c>
          <w:tcPr>
            <w:tcW w:w="567" w:type="dxa"/>
            <w:shd w:val="clear" w:color="auto" w:fill="auto"/>
            <w:vAlign w:val="center"/>
          </w:tcPr>
          <w:p w14:paraId="79745954"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c>
          <w:tcPr>
            <w:tcW w:w="567" w:type="dxa"/>
            <w:shd w:val="clear" w:color="auto" w:fill="auto"/>
            <w:vAlign w:val="center"/>
          </w:tcPr>
          <w:p w14:paraId="7F93E01A"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36</w:t>
            </w:r>
          </w:p>
        </w:tc>
      </w:tr>
    </w:tbl>
    <w:p w14:paraId="6122683D" w14:textId="77777777" w:rsidR="002815C5" w:rsidRDefault="002815C5" w:rsidP="007E3081">
      <w:pPr>
        <w:widowControl w:val="0"/>
        <w:autoSpaceDE w:val="0"/>
        <w:spacing w:line="247" w:lineRule="auto"/>
        <w:ind w:right="-1"/>
        <w:rPr>
          <w:spacing w:val="-2"/>
          <w:sz w:val="18"/>
          <w:szCs w:val="18"/>
        </w:rPr>
      </w:pPr>
    </w:p>
    <w:p w14:paraId="4F7FFC27" w14:textId="687EFE74" w:rsidR="007E3081" w:rsidRPr="007646AE" w:rsidRDefault="007646AE" w:rsidP="007646AE">
      <w:pPr>
        <w:widowControl w:val="0"/>
        <w:autoSpaceDE w:val="0"/>
        <w:spacing w:line="247" w:lineRule="auto"/>
        <w:ind w:right="-1" w:firstLine="567"/>
        <w:rPr>
          <w:spacing w:val="-2"/>
        </w:rPr>
      </w:pPr>
      <w:r>
        <w:rPr>
          <w:spacing w:val="-2"/>
        </w:rPr>
        <w:t>B</w:t>
      </w:r>
      <w:r w:rsidRPr="007646AE">
        <w:rPr>
          <w:spacing w:val="-2"/>
        </w:rPr>
        <w:t>elandaskan tabel tersebut untuk elemen Return On Asset (X1) nilai signifikansinya sebesar ,453. Karena nilai signifikansi lebih besar dari 0.05, ini menunjukkan tidak ada masalah heteroskedastisitas. Untuk elemen Debt to Equity Ratio (X2) dengan tingkat kepercayaan ,938. Karena nilai signifikansi lebih besar dari 0.05, ini menunjukkan tidak ada masalah heteroskedastisitas.</w:t>
      </w:r>
      <w:r>
        <w:rPr>
          <w:spacing w:val="-2"/>
        </w:rPr>
        <w:t xml:space="preserve"> </w:t>
      </w:r>
      <w:r w:rsidRPr="007646AE">
        <w:rPr>
          <w:spacing w:val="-2"/>
        </w:rPr>
        <w:t>Secara keseluruhan, hasil uji heteroskedastisitas ini menunjukkan bahwa tidak ada masalah heteroskedastisitas dalam model regresi, karena tidak ada tingkat kepercayaan dibawah 0.05</w:t>
      </w:r>
      <w:r w:rsidR="007E3081">
        <w:rPr>
          <w:spacing w:val="-2"/>
          <w:lang w:val="en-ID"/>
        </w:rPr>
        <w:t>.</w:t>
      </w:r>
    </w:p>
    <w:p w14:paraId="564B5001" w14:textId="77777777" w:rsidR="007E3081" w:rsidRPr="007E3081" w:rsidRDefault="007E3081" w:rsidP="007E3081">
      <w:pPr>
        <w:widowControl w:val="0"/>
        <w:autoSpaceDE w:val="0"/>
        <w:spacing w:line="247" w:lineRule="auto"/>
        <w:ind w:right="-1"/>
        <w:rPr>
          <w:spacing w:val="-2"/>
        </w:rPr>
      </w:pPr>
    </w:p>
    <w:p w14:paraId="076D9F5E" w14:textId="0B721071" w:rsidR="007E3081" w:rsidRDefault="007E3081" w:rsidP="007E3081">
      <w:pPr>
        <w:pStyle w:val="ListParagraph"/>
        <w:widowControl w:val="0"/>
        <w:numPr>
          <w:ilvl w:val="0"/>
          <w:numId w:val="5"/>
        </w:numPr>
        <w:autoSpaceDE w:val="0"/>
        <w:spacing w:after="0" w:line="247" w:lineRule="auto"/>
        <w:ind w:right="-1"/>
        <w:jc w:val="both"/>
        <w:rPr>
          <w:rFonts w:ascii="Times New Roman" w:hAnsi="Times New Roman"/>
          <w:spacing w:val="-2"/>
          <w:sz w:val="20"/>
          <w:szCs w:val="20"/>
        </w:rPr>
      </w:pPr>
      <w:r>
        <w:rPr>
          <w:rFonts w:ascii="Times New Roman" w:hAnsi="Times New Roman"/>
          <w:spacing w:val="-2"/>
          <w:sz w:val="20"/>
          <w:szCs w:val="20"/>
        </w:rPr>
        <w:t>Uji Autokorelasi</w:t>
      </w:r>
    </w:p>
    <w:p w14:paraId="14E434FE" w14:textId="2E5B857F" w:rsidR="007E3081" w:rsidRPr="007E3081" w:rsidRDefault="007646AE" w:rsidP="007E3081">
      <w:pPr>
        <w:widowControl w:val="0"/>
        <w:autoSpaceDE w:val="0"/>
        <w:spacing w:line="247" w:lineRule="auto"/>
        <w:ind w:right="-1"/>
        <w:rPr>
          <w:spacing w:val="-2"/>
          <w:sz w:val="18"/>
          <w:szCs w:val="18"/>
        </w:rPr>
      </w:pPr>
      <w:r>
        <w:rPr>
          <w:spacing w:val="-2"/>
          <w:sz w:val="18"/>
          <w:szCs w:val="18"/>
        </w:rPr>
        <w:t>Tabel 4</w:t>
      </w:r>
      <w:r w:rsidR="007E3081">
        <w:rPr>
          <w:spacing w:val="-2"/>
          <w:sz w:val="18"/>
          <w:szCs w:val="18"/>
        </w:rPr>
        <w:t>. Uji Autokorelasi</w:t>
      </w: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6"/>
        <w:gridCol w:w="1475"/>
      </w:tblGrid>
      <w:tr w:rsidR="007646AE" w:rsidRPr="009765BB" w14:paraId="6372DD84" w14:textId="77777777" w:rsidTr="009344CD">
        <w:trPr>
          <w:cantSplit/>
          <w:jc w:val="center"/>
        </w:trPr>
        <w:tc>
          <w:tcPr>
            <w:tcW w:w="3551" w:type="dxa"/>
            <w:gridSpan w:val="2"/>
            <w:shd w:val="clear" w:color="auto" w:fill="auto"/>
            <w:vAlign w:val="center"/>
          </w:tcPr>
          <w:p w14:paraId="30A5CB3E" w14:textId="77777777" w:rsidR="007646AE" w:rsidRPr="009765BB" w:rsidRDefault="007646AE" w:rsidP="007646AE">
            <w:pPr>
              <w:autoSpaceDE w:val="0"/>
              <w:autoSpaceDN w:val="0"/>
              <w:adjustRightInd w:val="0"/>
              <w:ind w:left="60" w:right="60"/>
              <w:jc w:val="center"/>
              <w:rPr>
                <w:color w:val="000000"/>
                <w:sz w:val="18"/>
                <w:szCs w:val="18"/>
              </w:rPr>
            </w:pPr>
            <w:r w:rsidRPr="009765BB">
              <w:rPr>
                <w:b/>
                <w:bCs/>
                <w:color w:val="000000"/>
                <w:sz w:val="18"/>
                <w:szCs w:val="18"/>
              </w:rPr>
              <w:t>Runs Test</w:t>
            </w:r>
          </w:p>
        </w:tc>
      </w:tr>
      <w:tr w:rsidR="007646AE" w:rsidRPr="009765BB" w14:paraId="4972E49A" w14:textId="77777777" w:rsidTr="009344CD">
        <w:trPr>
          <w:cantSplit/>
          <w:jc w:val="center"/>
        </w:trPr>
        <w:tc>
          <w:tcPr>
            <w:tcW w:w="2076" w:type="dxa"/>
            <w:shd w:val="clear" w:color="auto" w:fill="auto"/>
            <w:vAlign w:val="bottom"/>
          </w:tcPr>
          <w:p w14:paraId="48A9028B" w14:textId="77777777" w:rsidR="007646AE" w:rsidRPr="009765BB" w:rsidRDefault="007646AE" w:rsidP="007646AE">
            <w:pPr>
              <w:autoSpaceDE w:val="0"/>
              <w:autoSpaceDN w:val="0"/>
              <w:adjustRightInd w:val="0"/>
              <w:rPr>
                <w:sz w:val="24"/>
                <w:szCs w:val="24"/>
              </w:rPr>
            </w:pPr>
          </w:p>
        </w:tc>
        <w:tc>
          <w:tcPr>
            <w:tcW w:w="1475" w:type="dxa"/>
            <w:shd w:val="clear" w:color="auto" w:fill="auto"/>
            <w:vAlign w:val="bottom"/>
          </w:tcPr>
          <w:p w14:paraId="16D3766D" w14:textId="77777777" w:rsidR="007646AE" w:rsidRPr="009765BB" w:rsidRDefault="007646AE" w:rsidP="007646AE">
            <w:pPr>
              <w:autoSpaceDE w:val="0"/>
              <w:autoSpaceDN w:val="0"/>
              <w:adjustRightInd w:val="0"/>
              <w:ind w:left="60" w:right="60"/>
              <w:jc w:val="center"/>
              <w:rPr>
                <w:color w:val="000000"/>
                <w:sz w:val="18"/>
                <w:szCs w:val="18"/>
              </w:rPr>
            </w:pPr>
            <w:r w:rsidRPr="009765BB">
              <w:rPr>
                <w:color w:val="000000"/>
                <w:sz w:val="18"/>
                <w:szCs w:val="18"/>
              </w:rPr>
              <w:t>Unstandardized Residual</w:t>
            </w:r>
          </w:p>
        </w:tc>
      </w:tr>
      <w:tr w:rsidR="007646AE" w:rsidRPr="009765BB" w14:paraId="75C54047" w14:textId="77777777" w:rsidTr="009344CD">
        <w:trPr>
          <w:cantSplit/>
          <w:jc w:val="center"/>
        </w:trPr>
        <w:tc>
          <w:tcPr>
            <w:tcW w:w="2076" w:type="dxa"/>
            <w:shd w:val="clear" w:color="auto" w:fill="auto"/>
          </w:tcPr>
          <w:p w14:paraId="57B8B9D7" w14:textId="77777777" w:rsidR="007646AE" w:rsidRPr="009765BB" w:rsidRDefault="007646AE" w:rsidP="007646AE">
            <w:pPr>
              <w:autoSpaceDE w:val="0"/>
              <w:autoSpaceDN w:val="0"/>
              <w:adjustRightInd w:val="0"/>
              <w:ind w:left="60" w:right="60"/>
              <w:rPr>
                <w:color w:val="000000"/>
                <w:sz w:val="18"/>
                <w:szCs w:val="18"/>
              </w:rPr>
            </w:pPr>
            <w:r w:rsidRPr="009765BB">
              <w:rPr>
                <w:color w:val="000000"/>
                <w:sz w:val="18"/>
                <w:szCs w:val="18"/>
              </w:rPr>
              <w:t>Test Value</w:t>
            </w:r>
            <w:r w:rsidRPr="009765BB">
              <w:rPr>
                <w:color w:val="000000"/>
                <w:sz w:val="18"/>
                <w:szCs w:val="18"/>
                <w:vertAlign w:val="superscript"/>
              </w:rPr>
              <w:t>a</w:t>
            </w:r>
          </w:p>
        </w:tc>
        <w:tc>
          <w:tcPr>
            <w:tcW w:w="1475" w:type="dxa"/>
            <w:shd w:val="clear" w:color="auto" w:fill="auto"/>
            <w:vAlign w:val="center"/>
          </w:tcPr>
          <w:p w14:paraId="64BE5B66" w14:textId="77777777" w:rsidR="007646AE" w:rsidRPr="009765BB" w:rsidRDefault="007646AE" w:rsidP="007646AE">
            <w:pPr>
              <w:autoSpaceDE w:val="0"/>
              <w:autoSpaceDN w:val="0"/>
              <w:adjustRightInd w:val="0"/>
              <w:ind w:left="60" w:right="60"/>
              <w:jc w:val="right"/>
              <w:rPr>
                <w:color w:val="000000"/>
                <w:sz w:val="18"/>
                <w:szCs w:val="18"/>
              </w:rPr>
            </w:pPr>
            <w:r w:rsidRPr="009765BB">
              <w:rPr>
                <w:color w:val="000000"/>
                <w:sz w:val="18"/>
                <w:szCs w:val="18"/>
              </w:rPr>
              <w:t>-1.02562</w:t>
            </w:r>
          </w:p>
        </w:tc>
      </w:tr>
      <w:tr w:rsidR="007646AE" w:rsidRPr="009765BB" w14:paraId="070303C0" w14:textId="77777777" w:rsidTr="009344CD">
        <w:trPr>
          <w:cantSplit/>
          <w:jc w:val="center"/>
        </w:trPr>
        <w:tc>
          <w:tcPr>
            <w:tcW w:w="2076" w:type="dxa"/>
            <w:shd w:val="clear" w:color="auto" w:fill="auto"/>
          </w:tcPr>
          <w:p w14:paraId="2B3FD709" w14:textId="77777777" w:rsidR="007646AE" w:rsidRPr="009765BB" w:rsidRDefault="007646AE" w:rsidP="007646AE">
            <w:pPr>
              <w:autoSpaceDE w:val="0"/>
              <w:autoSpaceDN w:val="0"/>
              <w:adjustRightInd w:val="0"/>
              <w:ind w:left="60" w:right="60"/>
              <w:rPr>
                <w:color w:val="000000"/>
                <w:sz w:val="18"/>
                <w:szCs w:val="18"/>
              </w:rPr>
            </w:pPr>
            <w:r w:rsidRPr="009765BB">
              <w:rPr>
                <w:color w:val="000000"/>
                <w:sz w:val="18"/>
                <w:szCs w:val="18"/>
              </w:rPr>
              <w:t>Cases &lt; Test Value</w:t>
            </w:r>
          </w:p>
        </w:tc>
        <w:tc>
          <w:tcPr>
            <w:tcW w:w="1475" w:type="dxa"/>
            <w:shd w:val="clear" w:color="auto" w:fill="auto"/>
            <w:vAlign w:val="center"/>
          </w:tcPr>
          <w:p w14:paraId="4B2935D5" w14:textId="77777777" w:rsidR="007646AE" w:rsidRPr="009765BB" w:rsidRDefault="007646AE" w:rsidP="007646AE">
            <w:pPr>
              <w:autoSpaceDE w:val="0"/>
              <w:autoSpaceDN w:val="0"/>
              <w:adjustRightInd w:val="0"/>
              <w:ind w:left="60" w:right="60"/>
              <w:jc w:val="right"/>
              <w:rPr>
                <w:color w:val="000000"/>
                <w:sz w:val="18"/>
                <w:szCs w:val="18"/>
              </w:rPr>
            </w:pPr>
            <w:r w:rsidRPr="009765BB">
              <w:rPr>
                <w:color w:val="000000"/>
                <w:sz w:val="18"/>
                <w:szCs w:val="18"/>
              </w:rPr>
              <w:t>18</w:t>
            </w:r>
          </w:p>
        </w:tc>
      </w:tr>
      <w:tr w:rsidR="007646AE" w:rsidRPr="009765BB" w14:paraId="2969C401" w14:textId="77777777" w:rsidTr="009344CD">
        <w:trPr>
          <w:cantSplit/>
          <w:jc w:val="center"/>
        </w:trPr>
        <w:tc>
          <w:tcPr>
            <w:tcW w:w="2076" w:type="dxa"/>
            <w:shd w:val="clear" w:color="auto" w:fill="auto"/>
          </w:tcPr>
          <w:p w14:paraId="19B38849" w14:textId="77777777" w:rsidR="007646AE" w:rsidRPr="009765BB" w:rsidRDefault="007646AE" w:rsidP="007646AE">
            <w:pPr>
              <w:autoSpaceDE w:val="0"/>
              <w:autoSpaceDN w:val="0"/>
              <w:adjustRightInd w:val="0"/>
              <w:ind w:left="60" w:right="60"/>
              <w:rPr>
                <w:color w:val="000000"/>
                <w:sz w:val="18"/>
                <w:szCs w:val="18"/>
              </w:rPr>
            </w:pPr>
            <w:r w:rsidRPr="009765BB">
              <w:rPr>
                <w:color w:val="000000"/>
                <w:sz w:val="18"/>
                <w:szCs w:val="18"/>
              </w:rPr>
              <w:t>Cases &gt;= Test Value</w:t>
            </w:r>
          </w:p>
        </w:tc>
        <w:tc>
          <w:tcPr>
            <w:tcW w:w="1475" w:type="dxa"/>
            <w:shd w:val="clear" w:color="auto" w:fill="auto"/>
            <w:vAlign w:val="center"/>
          </w:tcPr>
          <w:p w14:paraId="17802074" w14:textId="77777777" w:rsidR="007646AE" w:rsidRPr="009765BB" w:rsidRDefault="007646AE" w:rsidP="007646AE">
            <w:pPr>
              <w:autoSpaceDE w:val="0"/>
              <w:autoSpaceDN w:val="0"/>
              <w:adjustRightInd w:val="0"/>
              <w:ind w:left="60" w:right="60"/>
              <w:jc w:val="right"/>
              <w:rPr>
                <w:color w:val="000000"/>
                <w:sz w:val="18"/>
                <w:szCs w:val="18"/>
              </w:rPr>
            </w:pPr>
            <w:r w:rsidRPr="009765BB">
              <w:rPr>
                <w:color w:val="000000"/>
                <w:sz w:val="18"/>
                <w:szCs w:val="18"/>
              </w:rPr>
              <w:t>18</w:t>
            </w:r>
          </w:p>
        </w:tc>
      </w:tr>
      <w:tr w:rsidR="007646AE" w:rsidRPr="009765BB" w14:paraId="4D975E9E" w14:textId="77777777" w:rsidTr="009344CD">
        <w:trPr>
          <w:cantSplit/>
          <w:jc w:val="center"/>
        </w:trPr>
        <w:tc>
          <w:tcPr>
            <w:tcW w:w="2076" w:type="dxa"/>
            <w:shd w:val="clear" w:color="auto" w:fill="auto"/>
          </w:tcPr>
          <w:p w14:paraId="5991273D" w14:textId="77777777" w:rsidR="007646AE" w:rsidRPr="009765BB" w:rsidRDefault="007646AE" w:rsidP="007646AE">
            <w:pPr>
              <w:autoSpaceDE w:val="0"/>
              <w:autoSpaceDN w:val="0"/>
              <w:adjustRightInd w:val="0"/>
              <w:ind w:left="60" w:right="60"/>
              <w:rPr>
                <w:color w:val="000000"/>
                <w:sz w:val="18"/>
                <w:szCs w:val="18"/>
              </w:rPr>
            </w:pPr>
            <w:r w:rsidRPr="009765BB">
              <w:rPr>
                <w:color w:val="000000"/>
                <w:sz w:val="18"/>
                <w:szCs w:val="18"/>
              </w:rPr>
              <w:t>Total Cases</w:t>
            </w:r>
          </w:p>
        </w:tc>
        <w:tc>
          <w:tcPr>
            <w:tcW w:w="1475" w:type="dxa"/>
            <w:shd w:val="clear" w:color="auto" w:fill="auto"/>
            <w:vAlign w:val="center"/>
          </w:tcPr>
          <w:p w14:paraId="309B36F0" w14:textId="77777777" w:rsidR="007646AE" w:rsidRPr="009765BB" w:rsidRDefault="007646AE" w:rsidP="007646AE">
            <w:pPr>
              <w:autoSpaceDE w:val="0"/>
              <w:autoSpaceDN w:val="0"/>
              <w:adjustRightInd w:val="0"/>
              <w:ind w:left="60" w:right="60"/>
              <w:jc w:val="right"/>
              <w:rPr>
                <w:color w:val="000000"/>
                <w:sz w:val="18"/>
                <w:szCs w:val="18"/>
              </w:rPr>
            </w:pPr>
            <w:r w:rsidRPr="009765BB">
              <w:rPr>
                <w:color w:val="000000"/>
                <w:sz w:val="18"/>
                <w:szCs w:val="18"/>
              </w:rPr>
              <w:t>36</w:t>
            </w:r>
          </w:p>
        </w:tc>
      </w:tr>
      <w:tr w:rsidR="007646AE" w:rsidRPr="009765BB" w14:paraId="2D5C4255" w14:textId="77777777" w:rsidTr="009344CD">
        <w:trPr>
          <w:cantSplit/>
          <w:jc w:val="center"/>
        </w:trPr>
        <w:tc>
          <w:tcPr>
            <w:tcW w:w="2076" w:type="dxa"/>
            <w:shd w:val="clear" w:color="auto" w:fill="auto"/>
          </w:tcPr>
          <w:p w14:paraId="4315AD8A" w14:textId="77777777" w:rsidR="007646AE" w:rsidRPr="009765BB" w:rsidRDefault="007646AE" w:rsidP="007646AE">
            <w:pPr>
              <w:autoSpaceDE w:val="0"/>
              <w:autoSpaceDN w:val="0"/>
              <w:adjustRightInd w:val="0"/>
              <w:ind w:left="60" w:right="60"/>
              <w:rPr>
                <w:color w:val="000000"/>
                <w:sz w:val="18"/>
                <w:szCs w:val="18"/>
              </w:rPr>
            </w:pPr>
            <w:r w:rsidRPr="009765BB">
              <w:rPr>
                <w:color w:val="000000"/>
                <w:sz w:val="18"/>
                <w:szCs w:val="18"/>
              </w:rPr>
              <w:t>Number of Runs</w:t>
            </w:r>
          </w:p>
        </w:tc>
        <w:tc>
          <w:tcPr>
            <w:tcW w:w="1475" w:type="dxa"/>
            <w:shd w:val="clear" w:color="auto" w:fill="auto"/>
            <w:vAlign w:val="center"/>
          </w:tcPr>
          <w:p w14:paraId="31AF4E51" w14:textId="77777777" w:rsidR="007646AE" w:rsidRPr="009765BB" w:rsidRDefault="007646AE" w:rsidP="007646AE">
            <w:pPr>
              <w:autoSpaceDE w:val="0"/>
              <w:autoSpaceDN w:val="0"/>
              <w:adjustRightInd w:val="0"/>
              <w:ind w:left="60" w:right="60"/>
              <w:jc w:val="right"/>
              <w:rPr>
                <w:color w:val="000000"/>
                <w:sz w:val="18"/>
                <w:szCs w:val="18"/>
              </w:rPr>
            </w:pPr>
            <w:r w:rsidRPr="009765BB">
              <w:rPr>
                <w:color w:val="000000"/>
                <w:sz w:val="18"/>
                <w:szCs w:val="18"/>
              </w:rPr>
              <w:t>14</w:t>
            </w:r>
          </w:p>
        </w:tc>
      </w:tr>
      <w:tr w:rsidR="007646AE" w:rsidRPr="009765BB" w14:paraId="41B52E1A" w14:textId="77777777" w:rsidTr="009344CD">
        <w:trPr>
          <w:cantSplit/>
          <w:jc w:val="center"/>
        </w:trPr>
        <w:tc>
          <w:tcPr>
            <w:tcW w:w="2076" w:type="dxa"/>
            <w:shd w:val="clear" w:color="auto" w:fill="auto"/>
          </w:tcPr>
          <w:p w14:paraId="4769869A" w14:textId="77777777" w:rsidR="007646AE" w:rsidRPr="009765BB" w:rsidRDefault="007646AE" w:rsidP="007646AE">
            <w:pPr>
              <w:autoSpaceDE w:val="0"/>
              <w:autoSpaceDN w:val="0"/>
              <w:adjustRightInd w:val="0"/>
              <w:ind w:left="60" w:right="60"/>
              <w:rPr>
                <w:color w:val="000000"/>
                <w:sz w:val="18"/>
                <w:szCs w:val="18"/>
              </w:rPr>
            </w:pPr>
            <w:r w:rsidRPr="009765BB">
              <w:rPr>
                <w:color w:val="000000"/>
                <w:sz w:val="18"/>
                <w:szCs w:val="18"/>
              </w:rPr>
              <w:t>Z</w:t>
            </w:r>
          </w:p>
        </w:tc>
        <w:tc>
          <w:tcPr>
            <w:tcW w:w="1475" w:type="dxa"/>
            <w:shd w:val="clear" w:color="auto" w:fill="auto"/>
            <w:vAlign w:val="center"/>
          </w:tcPr>
          <w:p w14:paraId="365DA5FA" w14:textId="77777777" w:rsidR="007646AE" w:rsidRPr="009765BB" w:rsidRDefault="007646AE" w:rsidP="007646AE">
            <w:pPr>
              <w:autoSpaceDE w:val="0"/>
              <w:autoSpaceDN w:val="0"/>
              <w:adjustRightInd w:val="0"/>
              <w:ind w:left="60" w:right="60"/>
              <w:jc w:val="right"/>
              <w:rPr>
                <w:color w:val="000000"/>
                <w:sz w:val="18"/>
                <w:szCs w:val="18"/>
              </w:rPr>
            </w:pPr>
            <w:r w:rsidRPr="009765BB">
              <w:rPr>
                <w:color w:val="000000"/>
                <w:sz w:val="18"/>
                <w:szCs w:val="18"/>
              </w:rPr>
              <w:t>-1.522</w:t>
            </w:r>
          </w:p>
        </w:tc>
      </w:tr>
      <w:tr w:rsidR="007646AE" w:rsidRPr="009765BB" w14:paraId="6780C6FA" w14:textId="77777777" w:rsidTr="009344CD">
        <w:trPr>
          <w:cantSplit/>
          <w:jc w:val="center"/>
        </w:trPr>
        <w:tc>
          <w:tcPr>
            <w:tcW w:w="2076" w:type="dxa"/>
            <w:shd w:val="clear" w:color="auto" w:fill="auto"/>
          </w:tcPr>
          <w:p w14:paraId="5EB683D2" w14:textId="77777777" w:rsidR="007646AE" w:rsidRPr="009765BB" w:rsidRDefault="007646AE" w:rsidP="007646AE">
            <w:pPr>
              <w:autoSpaceDE w:val="0"/>
              <w:autoSpaceDN w:val="0"/>
              <w:adjustRightInd w:val="0"/>
              <w:ind w:left="60" w:right="60"/>
              <w:rPr>
                <w:color w:val="000000"/>
                <w:sz w:val="18"/>
                <w:szCs w:val="18"/>
              </w:rPr>
            </w:pPr>
            <w:r w:rsidRPr="009765BB">
              <w:rPr>
                <w:color w:val="000000"/>
                <w:sz w:val="18"/>
                <w:szCs w:val="18"/>
              </w:rPr>
              <w:t>Asymp. Sig. (2-tailed)</w:t>
            </w:r>
          </w:p>
        </w:tc>
        <w:tc>
          <w:tcPr>
            <w:tcW w:w="1475" w:type="dxa"/>
            <w:shd w:val="clear" w:color="auto" w:fill="auto"/>
            <w:vAlign w:val="center"/>
          </w:tcPr>
          <w:p w14:paraId="1AEBEA1B" w14:textId="77777777" w:rsidR="007646AE" w:rsidRPr="009765BB" w:rsidRDefault="007646AE" w:rsidP="007646AE">
            <w:pPr>
              <w:autoSpaceDE w:val="0"/>
              <w:autoSpaceDN w:val="0"/>
              <w:adjustRightInd w:val="0"/>
              <w:ind w:left="60" w:right="60"/>
              <w:jc w:val="right"/>
              <w:rPr>
                <w:color w:val="000000"/>
                <w:sz w:val="18"/>
                <w:szCs w:val="18"/>
              </w:rPr>
            </w:pPr>
            <w:r w:rsidRPr="009765BB">
              <w:rPr>
                <w:color w:val="000000"/>
                <w:sz w:val="18"/>
                <w:szCs w:val="18"/>
              </w:rPr>
              <w:t>.128</w:t>
            </w:r>
          </w:p>
        </w:tc>
      </w:tr>
    </w:tbl>
    <w:p w14:paraId="06601F84" w14:textId="77777777" w:rsidR="007646AE" w:rsidRDefault="007646AE" w:rsidP="007646AE">
      <w:pPr>
        <w:widowControl w:val="0"/>
        <w:autoSpaceDE w:val="0"/>
        <w:spacing w:line="247" w:lineRule="auto"/>
        <w:ind w:right="-1"/>
        <w:rPr>
          <w:spacing w:val="-2"/>
          <w:lang w:val="en-ID"/>
        </w:rPr>
      </w:pPr>
    </w:p>
    <w:p w14:paraId="6159CF0A" w14:textId="240285CF" w:rsidR="003416BB" w:rsidRPr="007646AE" w:rsidRDefault="007646AE" w:rsidP="007646AE">
      <w:pPr>
        <w:widowControl w:val="0"/>
        <w:autoSpaceDE w:val="0"/>
        <w:spacing w:line="247" w:lineRule="auto"/>
        <w:ind w:right="-1" w:firstLine="567"/>
        <w:rPr>
          <w:spacing w:val="-2"/>
          <w:lang w:val="en-ID"/>
        </w:rPr>
      </w:pPr>
      <w:r w:rsidRPr="007646AE">
        <w:rPr>
          <w:spacing w:val="-2"/>
          <w:lang w:val="en-ID"/>
        </w:rPr>
        <w:t>Nilai uji (Test Value) sebesar 1.02562 dengan jumlah total kasus 36 menunjukkan 18 kasus sama dan 18 kasus berbeda. Jumlah perubahan data (Number of Runs) adalah 14, dan tingkat kepercayaan asimtotik (Asymp. Sig. (2-tailed)) adalah 1.522. Karena nilai ini jauh lebih besar dari 0.05, dapat disimpulkan tidak ada autokorelasi dalam data residu. Dengan demikian, asumsi bahwa residual independen antar pengamatan dalam model regresi terpenuhi, sehingga model regresi valid dan dapat diandalkan untuk prediksi dan analisis lanjut.</w:t>
      </w:r>
    </w:p>
    <w:p w14:paraId="08B52213" w14:textId="77777777" w:rsidR="007E3081" w:rsidRPr="003416BB" w:rsidRDefault="007E3081" w:rsidP="003416BB">
      <w:pPr>
        <w:widowControl w:val="0"/>
        <w:autoSpaceDE w:val="0"/>
        <w:spacing w:line="247" w:lineRule="auto"/>
        <w:ind w:right="-1"/>
        <w:rPr>
          <w:spacing w:val="-2"/>
        </w:rPr>
      </w:pPr>
    </w:p>
    <w:p w14:paraId="56CC21F8" w14:textId="64C79B4C" w:rsidR="003416BB" w:rsidRPr="002B3708" w:rsidRDefault="007E3081" w:rsidP="003416BB">
      <w:pPr>
        <w:pStyle w:val="ListParagraph"/>
        <w:widowControl w:val="0"/>
        <w:numPr>
          <w:ilvl w:val="0"/>
          <w:numId w:val="4"/>
        </w:numPr>
        <w:autoSpaceDE w:val="0"/>
        <w:spacing w:after="0" w:line="247" w:lineRule="auto"/>
        <w:ind w:right="-1"/>
        <w:jc w:val="both"/>
        <w:rPr>
          <w:rFonts w:ascii="Times New Roman" w:hAnsi="Times New Roman"/>
          <w:b/>
          <w:bCs/>
          <w:spacing w:val="-2"/>
          <w:sz w:val="20"/>
          <w:szCs w:val="20"/>
        </w:rPr>
      </w:pPr>
      <w:r w:rsidRPr="002B3708">
        <w:rPr>
          <w:rFonts w:ascii="Times New Roman" w:hAnsi="Times New Roman"/>
          <w:b/>
          <w:bCs/>
          <w:spacing w:val="-2"/>
          <w:sz w:val="20"/>
          <w:szCs w:val="20"/>
        </w:rPr>
        <w:t>Analisis Regresi Linier Berganda</w:t>
      </w:r>
    </w:p>
    <w:p w14:paraId="7CB74E7E" w14:textId="34576332" w:rsidR="007E3081" w:rsidRDefault="007646AE" w:rsidP="007E3081">
      <w:pPr>
        <w:widowControl w:val="0"/>
        <w:autoSpaceDE w:val="0"/>
        <w:spacing w:line="247" w:lineRule="auto"/>
        <w:ind w:right="-1"/>
        <w:rPr>
          <w:spacing w:val="-2"/>
          <w:sz w:val="18"/>
          <w:szCs w:val="18"/>
        </w:rPr>
      </w:pPr>
      <w:r>
        <w:rPr>
          <w:spacing w:val="-2"/>
          <w:sz w:val="18"/>
          <w:szCs w:val="18"/>
        </w:rPr>
        <w:t>Tabel 5</w:t>
      </w:r>
      <w:r w:rsidR="007E3081">
        <w:rPr>
          <w:spacing w:val="-2"/>
          <w:sz w:val="18"/>
          <w:szCs w:val="18"/>
        </w:rPr>
        <w:t>. Analisis Regresi Linier Berganda</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810"/>
        <w:gridCol w:w="578"/>
        <w:gridCol w:w="507"/>
        <w:gridCol w:w="992"/>
        <w:gridCol w:w="567"/>
        <w:gridCol w:w="567"/>
      </w:tblGrid>
      <w:tr w:rsidR="007646AE" w:rsidRPr="007646AE" w14:paraId="00AF7EDA" w14:textId="77777777" w:rsidTr="007646AE">
        <w:trPr>
          <w:cantSplit/>
          <w:trHeight w:val="453"/>
        </w:trPr>
        <w:tc>
          <w:tcPr>
            <w:tcW w:w="1037" w:type="dxa"/>
            <w:gridSpan w:val="2"/>
            <w:vMerge w:val="restart"/>
            <w:shd w:val="clear" w:color="auto" w:fill="auto"/>
            <w:vAlign w:val="bottom"/>
          </w:tcPr>
          <w:p w14:paraId="6C6916BF"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Model</w:t>
            </w:r>
          </w:p>
          <w:p w14:paraId="169A829E" w14:textId="77777777" w:rsidR="007646AE" w:rsidRPr="007646AE" w:rsidRDefault="007646AE" w:rsidP="009344CD">
            <w:pPr>
              <w:autoSpaceDE w:val="0"/>
              <w:autoSpaceDN w:val="0"/>
              <w:adjustRightInd w:val="0"/>
              <w:ind w:left="60" w:right="60"/>
              <w:rPr>
                <w:color w:val="000000"/>
                <w:sz w:val="14"/>
                <w:szCs w:val="14"/>
              </w:rPr>
            </w:pPr>
          </w:p>
        </w:tc>
        <w:tc>
          <w:tcPr>
            <w:tcW w:w="1085" w:type="dxa"/>
            <w:gridSpan w:val="2"/>
            <w:shd w:val="clear" w:color="auto" w:fill="auto"/>
            <w:vAlign w:val="bottom"/>
          </w:tcPr>
          <w:p w14:paraId="4091AA29"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Unstandardized Coefficients</w:t>
            </w:r>
          </w:p>
        </w:tc>
        <w:tc>
          <w:tcPr>
            <w:tcW w:w="992" w:type="dxa"/>
            <w:shd w:val="clear" w:color="auto" w:fill="auto"/>
            <w:vAlign w:val="bottom"/>
          </w:tcPr>
          <w:p w14:paraId="2F39BAAA"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Standardized Coefficients</w:t>
            </w:r>
          </w:p>
        </w:tc>
        <w:tc>
          <w:tcPr>
            <w:tcW w:w="567" w:type="dxa"/>
            <w:vMerge w:val="restart"/>
            <w:shd w:val="clear" w:color="auto" w:fill="auto"/>
            <w:vAlign w:val="bottom"/>
          </w:tcPr>
          <w:p w14:paraId="54BAE871"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t</w:t>
            </w:r>
          </w:p>
        </w:tc>
        <w:tc>
          <w:tcPr>
            <w:tcW w:w="567" w:type="dxa"/>
            <w:vMerge w:val="restart"/>
            <w:shd w:val="clear" w:color="auto" w:fill="auto"/>
            <w:vAlign w:val="bottom"/>
          </w:tcPr>
          <w:p w14:paraId="21742B57"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Sig.</w:t>
            </w:r>
          </w:p>
        </w:tc>
      </w:tr>
      <w:tr w:rsidR="007646AE" w:rsidRPr="007646AE" w14:paraId="6FC759E7" w14:textId="77777777" w:rsidTr="007646AE">
        <w:trPr>
          <w:cantSplit/>
          <w:trHeight w:val="103"/>
        </w:trPr>
        <w:tc>
          <w:tcPr>
            <w:tcW w:w="1037" w:type="dxa"/>
            <w:gridSpan w:val="2"/>
            <w:vMerge/>
            <w:shd w:val="clear" w:color="auto" w:fill="auto"/>
            <w:vAlign w:val="bottom"/>
          </w:tcPr>
          <w:p w14:paraId="67A2274B" w14:textId="77777777" w:rsidR="007646AE" w:rsidRPr="007646AE" w:rsidRDefault="007646AE" w:rsidP="009344CD">
            <w:pPr>
              <w:autoSpaceDE w:val="0"/>
              <w:autoSpaceDN w:val="0"/>
              <w:adjustRightInd w:val="0"/>
              <w:rPr>
                <w:color w:val="000000"/>
                <w:sz w:val="14"/>
                <w:szCs w:val="14"/>
              </w:rPr>
            </w:pPr>
          </w:p>
        </w:tc>
        <w:tc>
          <w:tcPr>
            <w:tcW w:w="578" w:type="dxa"/>
            <w:shd w:val="clear" w:color="auto" w:fill="auto"/>
            <w:vAlign w:val="bottom"/>
          </w:tcPr>
          <w:p w14:paraId="52CA47A1"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B</w:t>
            </w:r>
          </w:p>
        </w:tc>
        <w:tc>
          <w:tcPr>
            <w:tcW w:w="507" w:type="dxa"/>
            <w:shd w:val="clear" w:color="auto" w:fill="auto"/>
            <w:vAlign w:val="bottom"/>
          </w:tcPr>
          <w:p w14:paraId="352AD98F"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Std. Error</w:t>
            </w:r>
          </w:p>
        </w:tc>
        <w:tc>
          <w:tcPr>
            <w:tcW w:w="992" w:type="dxa"/>
            <w:shd w:val="clear" w:color="auto" w:fill="auto"/>
            <w:vAlign w:val="bottom"/>
          </w:tcPr>
          <w:p w14:paraId="47E91645" w14:textId="77777777" w:rsidR="007646AE" w:rsidRPr="007646AE" w:rsidRDefault="007646AE" w:rsidP="009344CD">
            <w:pPr>
              <w:autoSpaceDE w:val="0"/>
              <w:autoSpaceDN w:val="0"/>
              <w:adjustRightInd w:val="0"/>
              <w:ind w:left="60" w:right="60"/>
              <w:jc w:val="center"/>
              <w:rPr>
                <w:color w:val="000000"/>
                <w:sz w:val="14"/>
                <w:szCs w:val="14"/>
              </w:rPr>
            </w:pPr>
            <w:r w:rsidRPr="007646AE">
              <w:rPr>
                <w:color w:val="000000"/>
                <w:sz w:val="14"/>
                <w:szCs w:val="14"/>
              </w:rPr>
              <w:t>Beta</w:t>
            </w:r>
          </w:p>
        </w:tc>
        <w:tc>
          <w:tcPr>
            <w:tcW w:w="567" w:type="dxa"/>
            <w:vMerge/>
            <w:shd w:val="clear" w:color="auto" w:fill="auto"/>
            <w:vAlign w:val="bottom"/>
          </w:tcPr>
          <w:p w14:paraId="54082E4E" w14:textId="77777777" w:rsidR="007646AE" w:rsidRPr="007646AE" w:rsidRDefault="007646AE" w:rsidP="009344CD">
            <w:pPr>
              <w:autoSpaceDE w:val="0"/>
              <w:autoSpaceDN w:val="0"/>
              <w:adjustRightInd w:val="0"/>
              <w:rPr>
                <w:color w:val="000000"/>
                <w:sz w:val="14"/>
                <w:szCs w:val="14"/>
              </w:rPr>
            </w:pPr>
          </w:p>
        </w:tc>
        <w:tc>
          <w:tcPr>
            <w:tcW w:w="567" w:type="dxa"/>
            <w:vMerge/>
            <w:shd w:val="clear" w:color="auto" w:fill="auto"/>
            <w:vAlign w:val="bottom"/>
          </w:tcPr>
          <w:p w14:paraId="58E54CFD" w14:textId="77777777" w:rsidR="007646AE" w:rsidRPr="007646AE" w:rsidRDefault="007646AE" w:rsidP="009344CD">
            <w:pPr>
              <w:autoSpaceDE w:val="0"/>
              <w:autoSpaceDN w:val="0"/>
              <w:adjustRightInd w:val="0"/>
              <w:rPr>
                <w:color w:val="000000"/>
                <w:sz w:val="14"/>
                <w:szCs w:val="14"/>
              </w:rPr>
            </w:pPr>
          </w:p>
        </w:tc>
      </w:tr>
      <w:tr w:rsidR="007646AE" w:rsidRPr="007646AE" w14:paraId="10A9F7F2" w14:textId="77777777" w:rsidTr="007646AE">
        <w:trPr>
          <w:cantSplit/>
          <w:trHeight w:val="227"/>
        </w:trPr>
        <w:tc>
          <w:tcPr>
            <w:tcW w:w="227" w:type="dxa"/>
            <w:vMerge w:val="restart"/>
            <w:shd w:val="clear" w:color="auto" w:fill="auto"/>
          </w:tcPr>
          <w:p w14:paraId="4DD0E482"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1</w:t>
            </w:r>
          </w:p>
        </w:tc>
        <w:tc>
          <w:tcPr>
            <w:tcW w:w="810" w:type="dxa"/>
            <w:shd w:val="clear" w:color="auto" w:fill="auto"/>
          </w:tcPr>
          <w:p w14:paraId="61DB3726"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(Constant)</w:t>
            </w:r>
          </w:p>
        </w:tc>
        <w:tc>
          <w:tcPr>
            <w:tcW w:w="578" w:type="dxa"/>
            <w:shd w:val="clear" w:color="auto" w:fill="auto"/>
            <w:vAlign w:val="center"/>
          </w:tcPr>
          <w:p w14:paraId="31DFAA89" w14:textId="77777777" w:rsidR="007646AE" w:rsidRPr="007646AE" w:rsidRDefault="007646AE" w:rsidP="007646AE">
            <w:pPr>
              <w:autoSpaceDE w:val="0"/>
              <w:autoSpaceDN w:val="0"/>
              <w:adjustRightInd w:val="0"/>
              <w:ind w:right="60"/>
              <w:jc w:val="right"/>
              <w:rPr>
                <w:color w:val="000000"/>
                <w:sz w:val="14"/>
                <w:szCs w:val="14"/>
              </w:rPr>
            </w:pPr>
            <w:r w:rsidRPr="007646AE">
              <w:rPr>
                <w:color w:val="000000"/>
                <w:sz w:val="14"/>
                <w:szCs w:val="14"/>
              </w:rPr>
              <w:t>537.193</w:t>
            </w:r>
          </w:p>
        </w:tc>
        <w:tc>
          <w:tcPr>
            <w:tcW w:w="507" w:type="dxa"/>
            <w:shd w:val="clear" w:color="auto" w:fill="auto"/>
            <w:vAlign w:val="center"/>
          </w:tcPr>
          <w:p w14:paraId="6C9E1BAA" w14:textId="77777777" w:rsidR="007646AE" w:rsidRPr="007646AE" w:rsidRDefault="007646AE" w:rsidP="007646AE">
            <w:pPr>
              <w:autoSpaceDE w:val="0"/>
              <w:autoSpaceDN w:val="0"/>
              <w:adjustRightInd w:val="0"/>
              <w:ind w:left="2" w:right="60"/>
              <w:jc w:val="right"/>
              <w:rPr>
                <w:color w:val="000000"/>
                <w:sz w:val="14"/>
                <w:szCs w:val="14"/>
              </w:rPr>
            </w:pPr>
            <w:r w:rsidRPr="007646AE">
              <w:rPr>
                <w:color w:val="000000"/>
                <w:sz w:val="14"/>
                <w:szCs w:val="14"/>
              </w:rPr>
              <w:t>20.292</w:t>
            </w:r>
          </w:p>
        </w:tc>
        <w:tc>
          <w:tcPr>
            <w:tcW w:w="992" w:type="dxa"/>
            <w:shd w:val="clear" w:color="auto" w:fill="auto"/>
            <w:vAlign w:val="center"/>
          </w:tcPr>
          <w:p w14:paraId="0898370E" w14:textId="77777777" w:rsidR="007646AE" w:rsidRPr="007646AE" w:rsidRDefault="007646AE" w:rsidP="009344CD">
            <w:pPr>
              <w:autoSpaceDE w:val="0"/>
              <w:autoSpaceDN w:val="0"/>
              <w:adjustRightInd w:val="0"/>
              <w:rPr>
                <w:sz w:val="14"/>
                <w:szCs w:val="14"/>
              </w:rPr>
            </w:pPr>
          </w:p>
        </w:tc>
        <w:tc>
          <w:tcPr>
            <w:tcW w:w="567" w:type="dxa"/>
            <w:shd w:val="clear" w:color="auto" w:fill="auto"/>
            <w:vAlign w:val="center"/>
          </w:tcPr>
          <w:p w14:paraId="5284D5F2"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26.473</w:t>
            </w:r>
          </w:p>
        </w:tc>
        <w:tc>
          <w:tcPr>
            <w:tcW w:w="567" w:type="dxa"/>
            <w:shd w:val="clear" w:color="auto" w:fill="auto"/>
            <w:vAlign w:val="center"/>
          </w:tcPr>
          <w:p w14:paraId="4D109827"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.000</w:t>
            </w:r>
          </w:p>
        </w:tc>
      </w:tr>
      <w:tr w:rsidR="007646AE" w:rsidRPr="007646AE" w14:paraId="1289963B" w14:textId="77777777" w:rsidTr="007646AE">
        <w:trPr>
          <w:cantSplit/>
          <w:trHeight w:val="103"/>
        </w:trPr>
        <w:tc>
          <w:tcPr>
            <w:tcW w:w="227" w:type="dxa"/>
            <w:vMerge/>
            <w:shd w:val="clear" w:color="auto" w:fill="auto"/>
          </w:tcPr>
          <w:p w14:paraId="6399C858" w14:textId="77777777" w:rsidR="007646AE" w:rsidRPr="007646AE" w:rsidRDefault="007646AE" w:rsidP="009344CD">
            <w:pPr>
              <w:autoSpaceDE w:val="0"/>
              <w:autoSpaceDN w:val="0"/>
              <w:adjustRightInd w:val="0"/>
              <w:rPr>
                <w:sz w:val="14"/>
                <w:szCs w:val="14"/>
              </w:rPr>
            </w:pPr>
          </w:p>
        </w:tc>
        <w:tc>
          <w:tcPr>
            <w:tcW w:w="810" w:type="dxa"/>
            <w:shd w:val="clear" w:color="auto" w:fill="auto"/>
          </w:tcPr>
          <w:p w14:paraId="1DA7B21C"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ROA</w:t>
            </w:r>
          </w:p>
        </w:tc>
        <w:tc>
          <w:tcPr>
            <w:tcW w:w="578" w:type="dxa"/>
            <w:shd w:val="clear" w:color="auto" w:fill="auto"/>
            <w:vAlign w:val="center"/>
          </w:tcPr>
          <w:p w14:paraId="4568A35B"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-.955</w:t>
            </w:r>
          </w:p>
        </w:tc>
        <w:tc>
          <w:tcPr>
            <w:tcW w:w="507" w:type="dxa"/>
            <w:shd w:val="clear" w:color="auto" w:fill="auto"/>
            <w:vAlign w:val="center"/>
          </w:tcPr>
          <w:p w14:paraId="5A4FA2F6"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.141</w:t>
            </w:r>
          </w:p>
        </w:tc>
        <w:tc>
          <w:tcPr>
            <w:tcW w:w="992" w:type="dxa"/>
            <w:shd w:val="clear" w:color="auto" w:fill="auto"/>
            <w:vAlign w:val="center"/>
          </w:tcPr>
          <w:p w14:paraId="3C2BAD74"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-.409</w:t>
            </w:r>
          </w:p>
        </w:tc>
        <w:tc>
          <w:tcPr>
            <w:tcW w:w="567" w:type="dxa"/>
            <w:shd w:val="clear" w:color="auto" w:fill="auto"/>
            <w:vAlign w:val="center"/>
          </w:tcPr>
          <w:p w14:paraId="72AA1F2B"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-6.776</w:t>
            </w:r>
          </w:p>
        </w:tc>
        <w:tc>
          <w:tcPr>
            <w:tcW w:w="567" w:type="dxa"/>
            <w:shd w:val="clear" w:color="auto" w:fill="auto"/>
            <w:vAlign w:val="center"/>
          </w:tcPr>
          <w:p w14:paraId="037AA145"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.000</w:t>
            </w:r>
          </w:p>
        </w:tc>
      </w:tr>
      <w:tr w:rsidR="007646AE" w:rsidRPr="007646AE" w14:paraId="3C593B38" w14:textId="77777777" w:rsidTr="007646AE">
        <w:trPr>
          <w:cantSplit/>
          <w:trHeight w:val="103"/>
        </w:trPr>
        <w:tc>
          <w:tcPr>
            <w:tcW w:w="227" w:type="dxa"/>
            <w:vMerge/>
            <w:shd w:val="clear" w:color="auto" w:fill="auto"/>
          </w:tcPr>
          <w:p w14:paraId="435517D2" w14:textId="77777777" w:rsidR="007646AE" w:rsidRPr="007646AE" w:rsidRDefault="007646AE" w:rsidP="009344CD">
            <w:pPr>
              <w:autoSpaceDE w:val="0"/>
              <w:autoSpaceDN w:val="0"/>
              <w:adjustRightInd w:val="0"/>
              <w:rPr>
                <w:color w:val="000000"/>
                <w:sz w:val="14"/>
                <w:szCs w:val="14"/>
              </w:rPr>
            </w:pPr>
          </w:p>
        </w:tc>
        <w:tc>
          <w:tcPr>
            <w:tcW w:w="810" w:type="dxa"/>
            <w:shd w:val="clear" w:color="auto" w:fill="auto"/>
          </w:tcPr>
          <w:p w14:paraId="327FAA95" w14:textId="77777777" w:rsidR="007646AE" w:rsidRPr="007646AE" w:rsidRDefault="007646AE" w:rsidP="009344CD">
            <w:pPr>
              <w:autoSpaceDE w:val="0"/>
              <w:autoSpaceDN w:val="0"/>
              <w:adjustRightInd w:val="0"/>
              <w:ind w:left="60" w:right="60"/>
              <w:rPr>
                <w:color w:val="000000"/>
                <w:sz w:val="14"/>
                <w:szCs w:val="14"/>
              </w:rPr>
            </w:pPr>
            <w:r w:rsidRPr="007646AE">
              <w:rPr>
                <w:color w:val="000000"/>
                <w:sz w:val="14"/>
                <w:szCs w:val="14"/>
              </w:rPr>
              <w:t>DER</w:t>
            </w:r>
          </w:p>
        </w:tc>
        <w:tc>
          <w:tcPr>
            <w:tcW w:w="578" w:type="dxa"/>
            <w:shd w:val="clear" w:color="auto" w:fill="auto"/>
            <w:vAlign w:val="center"/>
          </w:tcPr>
          <w:p w14:paraId="66BFE10E"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-1.396</w:t>
            </w:r>
          </w:p>
        </w:tc>
        <w:tc>
          <w:tcPr>
            <w:tcW w:w="507" w:type="dxa"/>
            <w:shd w:val="clear" w:color="auto" w:fill="auto"/>
            <w:vAlign w:val="center"/>
          </w:tcPr>
          <w:p w14:paraId="6A29C880"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.139</w:t>
            </w:r>
          </w:p>
        </w:tc>
        <w:tc>
          <w:tcPr>
            <w:tcW w:w="992" w:type="dxa"/>
            <w:shd w:val="clear" w:color="auto" w:fill="auto"/>
            <w:vAlign w:val="center"/>
          </w:tcPr>
          <w:p w14:paraId="5FFDBE59"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-.608</w:t>
            </w:r>
          </w:p>
        </w:tc>
        <w:tc>
          <w:tcPr>
            <w:tcW w:w="567" w:type="dxa"/>
            <w:shd w:val="clear" w:color="auto" w:fill="auto"/>
            <w:vAlign w:val="center"/>
          </w:tcPr>
          <w:p w14:paraId="247C5318"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-10.074</w:t>
            </w:r>
          </w:p>
        </w:tc>
        <w:tc>
          <w:tcPr>
            <w:tcW w:w="567" w:type="dxa"/>
            <w:shd w:val="clear" w:color="auto" w:fill="auto"/>
            <w:vAlign w:val="center"/>
          </w:tcPr>
          <w:p w14:paraId="508C95BC" w14:textId="77777777" w:rsidR="007646AE" w:rsidRPr="007646AE" w:rsidRDefault="007646AE" w:rsidP="009344CD">
            <w:pPr>
              <w:autoSpaceDE w:val="0"/>
              <w:autoSpaceDN w:val="0"/>
              <w:adjustRightInd w:val="0"/>
              <w:ind w:left="60" w:right="60"/>
              <w:jc w:val="right"/>
              <w:rPr>
                <w:color w:val="000000"/>
                <w:sz w:val="14"/>
                <w:szCs w:val="14"/>
              </w:rPr>
            </w:pPr>
            <w:r w:rsidRPr="007646AE">
              <w:rPr>
                <w:color w:val="000000"/>
                <w:sz w:val="14"/>
                <w:szCs w:val="14"/>
              </w:rPr>
              <w:t>.000</w:t>
            </w:r>
          </w:p>
        </w:tc>
      </w:tr>
    </w:tbl>
    <w:p w14:paraId="178535AE" w14:textId="77777777" w:rsidR="007646AE" w:rsidRPr="007E3081" w:rsidRDefault="007646AE" w:rsidP="007E3081">
      <w:pPr>
        <w:widowControl w:val="0"/>
        <w:autoSpaceDE w:val="0"/>
        <w:spacing w:line="247" w:lineRule="auto"/>
        <w:ind w:right="-1"/>
        <w:rPr>
          <w:spacing w:val="-2"/>
          <w:sz w:val="18"/>
          <w:szCs w:val="18"/>
        </w:rPr>
      </w:pPr>
    </w:p>
    <w:p w14:paraId="62952222" w14:textId="77777777" w:rsidR="007646AE" w:rsidRDefault="007646AE" w:rsidP="007646AE">
      <w:pPr>
        <w:widowControl w:val="0"/>
        <w:autoSpaceDE w:val="0"/>
        <w:spacing w:line="247" w:lineRule="auto"/>
        <w:ind w:right="-1" w:firstLine="567"/>
        <w:rPr>
          <w:spacing w:val="-2"/>
        </w:rPr>
      </w:pPr>
      <w:r w:rsidRPr="007646AE">
        <w:rPr>
          <w:spacing w:val="-2"/>
        </w:rPr>
        <w:t>Hasil analisis menunjukkan bahwa konstanta (intercept) sebesar 537.193 dengan tingkat kepercayaan 0.000, yang berarti secara statistik signifikan. Hal ini mengindikasikan bahwa jika ROA dan DER bernilai nol, maka harga saham diprediksi bernilai 537.193.</w:t>
      </w:r>
    </w:p>
    <w:p w14:paraId="51B9CFC3" w14:textId="77777777" w:rsidR="007646AE" w:rsidRDefault="007646AE" w:rsidP="007646AE">
      <w:pPr>
        <w:widowControl w:val="0"/>
        <w:autoSpaceDE w:val="0"/>
        <w:spacing w:line="247" w:lineRule="auto"/>
        <w:ind w:right="-1" w:firstLine="567"/>
        <w:rPr>
          <w:spacing w:val="-2"/>
        </w:rPr>
      </w:pPr>
      <w:r w:rsidRPr="007646AE">
        <w:rPr>
          <w:spacing w:val="-2"/>
        </w:rPr>
        <w:t xml:space="preserve">Koefisien regresi untuk ROA (Return on </w:t>
      </w:r>
      <w:r w:rsidRPr="007646AE">
        <w:rPr>
          <w:spacing w:val="-2"/>
        </w:rPr>
        <w:t>Assets) adalah 0.955 dengan tingkat kepercayaan 0.000. Ini menunjukkan bahwa setiap peningkatan satu unit pada ROA akan meningkatkan harga saham bernilai 0.955, dengan asumsi elemen lain konstan. Tingkat kepercayaan yang sangat kecil (p &lt; 0.05) menunjukkan bahwa pengaruh ROA terhadap harga saham signifikan secara statistik. Selain itu, koefisien beta terstandarisasi sebesar 0.409 menunjukkan bahwa ROA memiliki kontribusi positif yang cukup besar dalam model regresi ini.</w:t>
      </w:r>
    </w:p>
    <w:p w14:paraId="54A3C661" w14:textId="77777777" w:rsidR="007646AE" w:rsidRDefault="007646AE" w:rsidP="007646AE">
      <w:pPr>
        <w:widowControl w:val="0"/>
        <w:autoSpaceDE w:val="0"/>
        <w:spacing w:line="247" w:lineRule="auto"/>
        <w:ind w:right="-1" w:firstLine="567"/>
        <w:rPr>
          <w:spacing w:val="-2"/>
        </w:rPr>
      </w:pPr>
      <w:r w:rsidRPr="007646AE">
        <w:rPr>
          <w:spacing w:val="-2"/>
        </w:rPr>
        <w:t>Koefisien regresi untuk DER (Debt to Equity Ratio) adalah -1.396 dengan nilai signifikansi 0.000. Ini menunjukkan bahwa setiap peningkatan satu unit pada DER akan menurunkan harga saham sebesar 1.396, dengan asumsi variabel lain konstan. Nilai signifikansi yang sangat kecil (p &lt; 0.05) menunjukkan bahwa pengaruh DER terhadap harga saham signifikan secara statistik. Koefisien beta terstandarisasi sebesar -0.608 menunjukkan bahwa DER memiliki kontribusi negatif yang signifikan dalam model regresi ini.</w:t>
      </w:r>
    </w:p>
    <w:p w14:paraId="084FDCFB" w14:textId="0552CD89" w:rsidR="007E3081" w:rsidRPr="007646AE" w:rsidRDefault="007646AE" w:rsidP="007646AE">
      <w:pPr>
        <w:widowControl w:val="0"/>
        <w:autoSpaceDE w:val="0"/>
        <w:spacing w:line="247" w:lineRule="auto"/>
        <w:ind w:right="-1" w:firstLine="567"/>
        <w:rPr>
          <w:spacing w:val="-2"/>
        </w:rPr>
      </w:pPr>
      <w:r w:rsidRPr="007646AE">
        <w:rPr>
          <w:spacing w:val="-2"/>
        </w:rPr>
        <w:t>Dengan demikian, dapat disimpulkan bahwa ROA berdampak positif dan signifikan terhadap harga saham, sedangkan DER berdampak negatif dan signifikan terhadap harga saham. Model regresi yang digunakan dalam tulisan penulis mampu menjelaskan variasi dalam harga saham berdasarkan variabel-variabel independen yang diuji.</w:t>
      </w:r>
    </w:p>
    <w:p w14:paraId="61FEA0D3" w14:textId="77777777" w:rsidR="007E3081" w:rsidRPr="007E3081" w:rsidRDefault="007E3081" w:rsidP="007E3081">
      <w:pPr>
        <w:widowControl w:val="0"/>
        <w:autoSpaceDE w:val="0"/>
        <w:spacing w:line="247" w:lineRule="auto"/>
        <w:ind w:right="-1"/>
        <w:rPr>
          <w:spacing w:val="-2"/>
        </w:rPr>
      </w:pPr>
    </w:p>
    <w:p w14:paraId="2FD6ED23" w14:textId="2013548D" w:rsidR="007E3081" w:rsidRPr="002B3708" w:rsidRDefault="007E3081" w:rsidP="007E3081">
      <w:pPr>
        <w:pStyle w:val="ListParagraph"/>
        <w:widowControl w:val="0"/>
        <w:numPr>
          <w:ilvl w:val="0"/>
          <w:numId w:val="4"/>
        </w:numPr>
        <w:autoSpaceDE w:val="0"/>
        <w:spacing w:after="0" w:line="247" w:lineRule="auto"/>
        <w:ind w:right="-1"/>
        <w:jc w:val="both"/>
        <w:rPr>
          <w:rFonts w:ascii="Times New Roman" w:hAnsi="Times New Roman"/>
          <w:b/>
          <w:bCs/>
          <w:spacing w:val="-2"/>
          <w:sz w:val="20"/>
          <w:szCs w:val="20"/>
        </w:rPr>
      </w:pPr>
      <w:r w:rsidRPr="002B3708">
        <w:rPr>
          <w:rFonts w:ascii="Times New Roman" w:hAnsi="Times New Roman"/>
          <w:b/>
          <w:bCs/>
          <w:spacing w:val="-2"/>
          <w:sz w:val="20"/>
          <w:szCs w:val="20"/>
        </w:rPr>
        <w:t>Pengujian Hipotesis</w:t>
      </w:r>
    </w:p>
    <w:p w14:paraId="209F5F5F" w14:textId="7224757C" w:rsidR="007E3081" w:rsidRDefault="007E3081" w:rsidP="007E3081">
      <w:pPr>
        <w:pStyle w:val="ListParagraph"/>
        <w:widowControl w:val="0"/>
        <w:numPr>
          <w:ilvl w:val="0"/>
          <w:numId w:val="7"/>
        </w:numPr>
        <w:autoSpaceDE w:val="0"/>
        <w:spacing w:after="0" w:line="247" w:lineRule="auto"/>
        <w:ind w:right="-1"/>
        <w:jc w:val="both"/>
        <w:rPr>
          <w:rFonts w:ascii="Times New Roman" w:hAnsi="Times New Roman"/>
          <w:spacing w:val="-2"/>
          <w:sz w:val="20"/>
          <w:szCs w:val="20"/>
        </w:rPr>
      </w:pPr>
      <w:r>
        <w:rPr>
          <w:rFonts w:ascii="Times New Roman" w:hAnsi="Times New Roman"/>
          <w:spacing w:val="-2"/>
          <w:sz w:val="20"/>
          <w:szCs w:val="20"/>
        </w:rPr>
        <w:t>Uji T (Parsial)</w:t>
      </w:r>
    </w:p>
    <w:p w14:paraId="3B7B4250" w14:textId="1B413D9B" w:rsidR="002B3708" w:rsidRDefault="00E23C3B" w:rsidP="007E3081">
      <w:pPr>
        <w:widowControl w:val="0"/>
        <w:autoSpaceDE w:val="0"/>
        <w:spacing w:line="247" w:lineRule="auto"/>
        <w:ind w:right="-1"/>
        <w:rPr>
          <w:spacing w:val="-2"/>
          <w:sz w:val="18"/>
          <w:szCs w:val="18"/>
        </w:rPr>
      </w:pPr>
      <w:r>
        <w:rPr>
          <w:spacing w:val="-2"/>
          <w:sz w:val="18"/>
          <w:szCs w:val="18"/>
        </w:rPr>
        <w:t>Tabel 6</w:t>
      </w:r>
      <w:r w:rsidR="002B3708" w:rsidRPr="002B3708">
        <w:rPr>
          <w:spacing w:val="-2"/>
          <w:sz w:val="18"/>
          <w:szCs w:val="18"/>
        </w:rPr>
        <w:t>. Uji T (Parsial)</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810"/>
        <w:gridCol w:w="578"/>
        <w:gridCol w:w="507"/>
        <w:gridCol w:w="992"/>
        <w:gridCol w:w="567"/>
        <w:gridCol w:w="567"/>
      </w:tblGrid>
      <w:tr w:rsidR="00E23C3B" w:rsidRPr="007646AE" w14:paraId="734D99C1" w14:textId="77777777" w:rsidTr="009344CD">
        <w:trPr>
          <w:cantSplit/>
          <w:trHeight w:val="453"/>
        </w:trPr>
        <w:tc>
          <w:tcPr>
            <w:tcW w:w="1037" w:type="dxa"/>
            <w:gridSpan w:val="2"/>
            <w:vMerge w:val="restart"/>
            <w:shd w:val="clear" w:color="auto" w:fill="auto"/>
            <w:vAlign w:val="bottom"/>
          </w:tcPr>
          <w:p w14:paraId="61657AA5" w14:textId="77777777" w:rsidR="00E23C3B" w:rsidRPr="007646AE" w:rsidRDefault="00E23C3B" w:rsidP="009344CD">
            <w:pPr>
              <w:autoSpaceDE w:val="0"/>
              <w:autoSpaceDN w:val="0"/>
              <w:adjustRightInd w:val="0"/>
              <w:ind w:left="60" w:right="60"/>
              <w:rPr>
                <w:color w:val="000000"/>
                <w:sz w:val="14"/>
                <w:szCs w:val="14"/>
              </w:rPr>
            </w:pPr>
            <w:r w:rsidRPr="007646AE">
              <w:rPr>
                <w:color w:val="000000"/>
                <w:sz w:val="14"/>
                <w:szCs w:val="14"/>
              </w:rPr>
              <w:t>Model</w:t>
            </w:r>
          </w:p>
          <w:p w14:paraId="0D1EF2BF" w14:textId="77777777" w:rsidR="00E23C3B" w:rsidRPr="007646AE" w:rsidRDefault="00E23C3B" w:rsidP="009344CD">
            <w:pPr>
              <w:autoSpaceDE w:val="0"/>
              <w:autoSpaceDN w:val="0"/>
              <w:adjustRightInd w:val="0"/>
              <w:ind w:left="60" w:right="60"/>
              <w:rPr>
                <w:color w:val="000000"/>
                <w:sz w:val="14"/>
                <w:szCs w:val="14"/>
              </w:rPr>
            </w:pPr>
          </w:p>
        </w:tc>
        <w:tc>
          <w:tcPr>
            <w:tcW w:w="1085" w:type="dxa"/>
            <w:gridSpan w:val="2"/>
            <w:shd w:val="clear" w:color="auto" w:fill="auto"/>
            <w:vAlign w:val="bottom"/>
          </w:tcPr>
          <w:p w14:paraId="775344F4" w14:textId="77777777" w:rsidR="00E23C3B" w:rsidRPr="007646AE" w:rsidRDefault="00E23C3B" w:rsidP="009344CD">
            <w:pPr>
              <w:autoSpaceDE w:val="0"/>
              <w:autoSpaceDN w:val="0"/>
              <w:adjustRightInd w:val="0"/>
              <w:ind w:left="60" w:right="60"/>
              <w:jc w:val="center"/>
              <w:rPr>
                <w:color w:val="000000"/>
                <w:sz w:val="14"/>
                <w:szCs w:val="14"/>
              </w:rPr>
            </w:pPr>
            <w:r w:rsidRPr="007646AE">
              <w:rPr>
                <w:color w:val="000000"/>
                <w:sz w:val="14"/>
                <w:szCs w:val="14"/>
              </w:rPr>
              <w:t>Unstandardized Coefficients</w:t>
            </w:r>
          </w:p>
        </w:tc>
        <w:tc>
          <w:tcPr>
            <w:tcW w:w="992" w:type="dxa"/>
            <w:shd w:val="clear" w:color="auto" w:fill="auto"/>
            <w:vAlign w:val="bottom"/>
          </w:tcPr>
          <w:p w14:paraId="50892DFD" w14:textId="77777777" w:rsidR="00E23C3B" w:rsidRPr="007646AE" w:rsidRDefault="00E23C3B" w:rsidP="009344CD">
            <w:pPr>
              <w:autoSpaceDE w:val="0"/>
              <w:autoSpaceDN w:val="0"/>
              <w:adjustRightInd w:val="0"/>
              <w:ind w:left="60" w:right="60"/>
              <w:jc w:val="center"/>
              <w:rPr>
                <w:color w:val="000000"/>
                <w:sz w:val="14"/>
                <w:szCs w:val="14"/>
              </w:rPr>
            </w:pPr>
            <w:r w:rsidRPr="007646AE">
              <w:rPr>
                <w:color w:val="000000"/>
                <w:sz w:val="14"/>
                <w:szCs w:val="14"/>
              </w:rPr>
              <w:t>Standardized Coefficients</w:t>
            </w:r>
          </w:p>
        </w:tc>
        <w:tc>
          <w:tcPr>
            <w:tcW w:w="567" w:type="dxa"/>
            <w:vMerge w:val="restart"/>
            <w:shd w:val="clear" w:color="auto" w:fill="auto"/>
            <w:vAlign w:val="bottom"/>
          </w:tcPr>
          <w:p w14:paraId="39B62BBC" w14:textId="77777777" w:rsidR="00E23C3B" w:rsidRPr="007646AE" w:rsidRDefault="00E23C3B" w:rsidP="009344CD">
            <w:pPr>
              <w:autoSpaceDE w:val="0"/>
              <w:autoSpaceDN w:val="0"/>
              <w:adjustRightInd w:val="0"/>
              <w:ind w:left="60" w:right="60"/>
              <w:jc w:val="center"/>
              <w:rPr>
                <w:color w:val="000000"/>
                <w:sz w:val="14"/>
                <w:szCs w:val="14"/>
              </w:rPr>
            </w:pPr>
            <w:r w:rsidRPr="007646AE">
              <w:rPr>
                <w:color w:val="000000"/>
                <w:sz w:val="14"/>
                <w:szCs w:val="14"/>
              </w:rPr>
              <w:t>t</w:t>
            </w:r>
          </w:p>
        </w:tc>
        <w:tc>
          <w:tcPr>
            <w:tcW w:w="567" w:type="dxa"/>
            <w:vMerge w:val="restart"/>
            <w:shd w:val="clear" w:color="auto" w:fill="auto"/>
            <w:vAlign w:val="bottom"/>
          </w:tcPr>
          <w:p w14:paraId="1CB8A98F" w14:textId="77777777" w:rsidR="00E23C3B" w:rsidRPr="007646AE" w:rsidRDefault="00E23C3B" w:rsidP="009344CD">
            <w:pPr>
              <w:autoSpaceDE w:val="0"/>
              <w:autoSpaceDN w:val="0"/>
              <w:adjustRightInd w:val="0"/>
              <w:ind w:left="60" w:right="60"/>
              <w:jc w:val="center"/>
              <w:rPr>
                <w:color w:val="000000"/>
                <w:sz w:val="14"/>
                <w:szCs w:val="14"/>
              </w:rPr>
            </w:pPr>
            <w:r w:rsidRPr="007646AE">
              <w:rPr>
                <w:color w:val="000000"/>
                <w:sz w:val="14"/>
                <w:szCs w:val="14"/>
              </w:rPr>
              <w:t>Sig.</w:t>
            </w:r>
          </w:p>
        </w:tc>
      </w:tr>
      <w:tr w:rsidR="00E23C3B" w:rsidRPr="007646AE" w14:paraId="01984BC3" w14:textId="77777777" w:rsidTr="009344CD">
        <w:trPr>
          <w:cantSplit/>
          <w:trHeight w:val="103"/>
        </w:trPr>
        <w:tc>
          <w:tcPr>
            <w:tcW w:w="1037" w:type="dxa"/>
            <w:gridSpan w:val="2"/>
            <w:vMerge/>
            <w:shd w:val="clear" w:color="auto" w:fill="auto"/>
            <w:vAlign w:val="bottom"/>
          </w:tcPr>
          <w:p w14:paraId="031073E8" w14:textId="77777777" w:rsidR="00E23C3B" w:rsidRPr="007646AE" w:rsidRDefault="00E23C3B" w:rsidP="009344CD">
            <w:pPr>
              <w:autoSpaceDE w:val="0"/>
              <w:autoSpaceDN w:val="0"/>
              <w:adjustRightInd w:val="0"/>
              <w:rPr>
                <w:color w:val="000000"/>
                <w:sz w:val="14"/>
                <w:szCs w:val="14"/>
              </w:rPr>
            </w:pPr>
          </w:p>
        </w:tc>
        <w:tc>
          <w:tcPr>
            <w:tcW w:w="578" w:type="dxa"/>
            <w:shd w:val="clear" w:color="auto" w:fill="auto"/>
            <w:vAlign w:val="bottom"/>
          </w:tcPr>
          <w:p w14:paraId="293B4940" w14:textId="77777777" w:rsidR="00E23C3B" w:rsidRPr="007646AE" w:rsidRDefault="00E23C3B" w:rsidP="009344CD">
            <w:pPr>
              <w:autoSpaceDE w:val="0"/>
              <w:autoSpaceDN w:val="0"/>
              <w:adjustRightInd w:val="0"/>
              <w:ind w:left="60" w:right="60"/>
              <w:jc w:val="center"/>
              <w:rPr>
                <w:color w:val="000000"/>
                <w:sz w:val="14"/>
                <w:szCs w:val="14"/>
              </w:rPr>
            </w:pPr>
            <w:r w:rsidRPr="007646AE">
              <w:rPr>
                <w:color w:val="000000"/>
                <w:sz w:val="14"/>
                <w:szCs w:val="14"/>
              </w:rPr>
              <w:t>B</w:t>
            </w:r>
          </w:p>
        </w:tc>
        <w:tc>
          <w:tcPr>
            <w:tcW w:w="507" w:type="dxa"/>
            <w:shd w:val="clear" w:color="auto" w:fill="auto"/>
            <w:vAlign w:val="bottom"/>
          </w:tcPr>
          <w:p w14:paraId="6275D80B" w14:textId="77777777" w:rsidR="00E23C3B" w:rsidRPr="007646AE" w:rsidRDefault="00E23C3B" w:rsidP="009344CD">
            <w:pPr>
              <w:autoSpaceDE w:val="0"/>
              <w:autoSpaceDN w:val="0"/>
              <w:adjustRightInd w:val="0"/>
              <w:ind w:left="60" w:right="60"/>
              <w:jc w:val="center"/>
              <w:rPr>
                <w:color w:val="000000"/>
                <w:sz w:val="14"/>
                <w:szCs w:val="14"/>
              </w:rPr>
            </w:pPr>
            <w:r w:rsidRPr="007646AE">
              <w:rPr>
                <w:color w:val="000000"/>
                <w:sz w:val="14"/>
                <w:szCs w:val="14"/>
              </w:rPr>
              <w:t>Std. Error</w:t>
            </w:r>
          </w:p>
        </w:tc>
        <w:tc>
          <w:tcPr>
            <w:tcW w:w="992" w:type="dxa"/>
            <w:shd w:val="clear" w:color="auto" w:fill="auto"/>
            <w:vAlign w:val="bottom"/>
          </w:tcPr>
          <w:p w14:paraId="5DEE0CE3" w14:textId="77777777" w:rsidR="00E23C3B" w:rsidRPr="007646AE" w:rsidRDefault="00E23C3B" w:rsidP="009344CD">
            <w:pPr>
              <w:autoSpaceDE w:val="0"/>
              <w:autoSpaceDN w:val="0"/>
              <w:adjustRightInd w:val="0"/>
              <w:ind w:left="60" w:right="60"/>
              <w:jc w:val="center"/>
              <w:rPr>
                <w:color w:val="000000"/>
                <w:sz w:val="14"/>
                <w:szCs w:val="14"/>
              </w:rPr>
            </w:pPr>
            <w:r w:rsidRPr="007646AE">
              <w:rPr>
                <w:color w:val="000000"/>
                <w:sz w:val="14"/>
                <w:szCs w:val="14"/>
              </w:rPr>
              <w:t>Beta</w:t>
            </w:r>
          </w:p>
        </w:tc>
        <w:tc>
          <w:tcPr>
            <w:tcW w:w="567" w:type="dxa"/>
            <w:vMerge/>
            <w:shd w:val="clear" w:color="auto" w:fill="auto"/>
            <w:vAlign w:val="bottom"/>
          </w:tcPr>
          <w:p w14:paraId="10715A14" w14:textId="77777777" w:rsidR="00E23C3B" w:rsidRPr="007646AE" w:rsidRDefault="00E23C3B" w:rsidP="009344CD">
            <w:pPr>
              <w:autoSpaceDE w:val="0"/>
              <w:autoSpaceDN w:val="0"/>
              <w:adjustRightInd w:val="0"/>
              <w:rPr>
                <w:color w:val="000000"/>
                <w:sz w:val="14"/>
                <w:szCs w:val="14"/>
              </w:rPr>
            </w:pPr>
          </w:p>
        </w:tc>
        <w:tc>
          <w:tcPr>
            <w:tcW w:w="567" w:type="dxa"/>
            <w:vMerge/>
            <w:shd w:val="clear" w:color="auto" w:fill="auto"/>
            <w:vAlign w:val="bottom"/>
          </w:tcPr>
          <w:p w14:paraId="67995D2C" w14:textId="77777777" w:rsidR="00E23C3B" w:rsidRPr="007646AE" w:rsidRDefault="00E23C3B" w:rsidP="009344CD">
            <w:pPr>
              <w:autoSpaceDE w:val="0"/>
              <w:autoSpaceDN w:val="0"/>
              <w:adjustRightInd w:val="0"/>
              <w:rPr>
                <w:color w:val="000000"/>
                <w:sz w:val="14"/>
                <w:szCs w:val="14"/>
              </w:rPr>
            </w:pPr>
          </w:p>
        </w:tc>
      </w:tr>
      <w:tr w:rsidR="00E23C3B" w:rsidRPr="007646AE" w14:paraId="27E5BD1F" w14:textId="77777777" w:rsidTr="009344CD">
        <w:trPr>
          <w:cantSplit/>
          <w:trHeight w:val="227"/>
        </w:trPr>
        <w:tc>
          <w:tcPr>
            <w:tcW w:w="227" w:type="dxa"/>
            <w:vMerge w:val="restart"/>
            <w:shd w:val="clear" w:color="auto" w:fill="auto"/>
          </w:tcPr>
          <w:p w14:paraId="4A9F2519" w14:textId="77777777" w:rsidR="00E23C3B" w:rsidRPr="007646AE" w:rsidRDefault="00E23C3B" w:rsidP="009344CD">
            <w:pPr>
              <w:autoSpaceDE w:val="0"/>
              <w:autoSpaceDN w:val="0"/>
              <w:adjustRightInd w:val="0"/>
              <w:ind w:left="60" w:right="60"/>
              <w:rPr>
                <w:color w:val="000000"/>
                <w:sz w:val="14"/>
                <w:szCs w:val="14"/>
              </w:rPr>
            </w:pPr>
            <w:r w:rsidRPr="007646AE">
              <w:rPr>
                <w:color w:val="000000"/>
                <w:sz w:val="14"/>
                <w:szCs w:val="14"/>
              </w:rPr>
              <w:t>1</w:t>
            </w:r>
          </w:p>
        </w:tc>
        <w:tc>
          <w:tcPr>
            <w:tcW w:w="810" w:type="dxa"/>
            <w:shd w:val="clear" w:color="auto" w:fill="auto"/>
          </w:tcPr>
          <w:p w14:paraId="565EFED5" w14:textId="77777777" w:rsidR="00E23C3B" w:rsidRPr="007646AE" w:rsidRDefault="00E23C3B" w:rsidP="009344CD">
            <w:pPr>
              <w:autoSpaceDE w:val="0"/>
              <w:autoSpaceDN w:val="0"/>
              <w:adjustRightInd w:val="0"/>
              <w:ind w:left="60" w:right="60"/>
              <w:rPr>
                <w:color w:val="000000"/>
                <w:sz w:val="14"/>
                <w:szCs w:val="14"/>
              </w:rPr>
            </w:pPr>
            <w:r w:rsidRPr="007646AE">
              <w:rPr>
                <w:color w:val="000000"/>
                <w:sz w:val="14"/>
                <w:szCs w:val="14"/>
              </w:rPr>
              <w:t>(Constant)</w:t>
            </w:r>
          </w:p>
        </w:tc>
        <w:tc>
          <w:tcPr>
            <w:tcW w:w="578" w:type="dxa"/>
            <w:shd w:val="clear" w:color="auto" w:fill="auto"/>
            <w:vAlign w:val="center"/>
          </w:tcPr>
          <w:p w14:paraId="15631303" w14:textId="77777777" w:rsidR="00E23C3B" w:rsidRPr="007646AE" w:rsidRDefault="00E23C3B" w:rsidP="009344CD">
            <w:pPr>
              <w:autoSpaceDE w:val="0"/>
              <w:autoSpaceDN w:val="0"/>
              <w:adjustRightInd w:val="0"/>
              <w:ind w:right="60"/>
              <w:jc w:val="right"/>
              <w:rPr>
                <w:color w:val="000000"/>
                <w:sz w:val="14"/>
                <w:szCs w:val="14"/>
              </w:rPr>
            </w:pPr>
            <w:r w:rsidRPr="007646AE">
              <w:rPr>
                <w:color w:val="000000"/>
                <w:sz w:val="14"/>
                <w:szCs w:val="14"/>
              </w:rPr>
              <w:t>537.193</w:t>
            </w:r>
          </w:p>
        </w:tc>
        <w:tc>
          <w:tcPr>
            <w:tcW w:w="507" w:type="dxa"/>
            <w:shd w:val="clear" w:color="auto" w:fill="auto"/>
            <w:vAlign w:val="center"/>
          </w:tcPr>
          <w:p w14:paraId="14DD2792" w14:textId="77777777" w:rsidR="00E23C3B" w:rsidRPr="007646AE" w:rsidRDefault="00E23C3B" w:rsidP="009344CD">
            <w:pPr>
              <w:autoSpaceDE w:val="0"/>
              <w:autoSpaceDN w:val="0"/>
              <w:adjustRightInd w:val="0"/>
              <w:ind w:left="2" w:right="60"/>
              <w:jc w:val="right"/>
              <w:rPr>
                <w:color w:val="000000"/>
                <w:sz w:val="14"/>
                <w:szCs w:val="14"/>
              </w:rPr>
            </w:pPr>
            <w:r w:rsidRPr="007646AE">
              <w:rPr>
                <w:color w:val="000000"/>
                <w:sz w:val="14"/>
                <w:szCs w:val="14"/>
              </w:rPr>
              <w:t>20.292</w:t>
            </w:r>
          </w:p>
        </w:tc>
        <w:tc>
          <w:tcPr>
            <w:tcW w:w="992" w:type="dxa"/>
            <w:shd w:val="clear" w:color="auto" w:fill="auto"/>
            <w:vAlign w:val="center"/>
          </w:tcPr>
          <w:p w14:paraId="0343B87A" w14:textId="77777777" w:rsidR="00E23C3B" w:rsidRPr="007646AE" w:rsidRDefault="00E23C3B" w:rsidP="009344CD">
            <w:pPr>
              <w:autoSpaceDE w:val="0"/>
              <w:autoSpaceDN w:val="0"/>
              <w:adjustRightInd w:val="0"/>
              <w:rPr>
                <w:sz w:val="14"/>
                <w:szCs w:val="14"/>
              </w:rPr>
            </w:pPr>
          </w:p>
        </w:tc>
        <w:tc>
          <w:tcPr>
            <w:tcW w:w="567" w:type="dxa"/>
            <w:shd w:val="clear" w:color="auto" w:fill="auto"/>
            <w:vAlign w:val="center"/>
          </w:tcPr>
          <w:p w14:paraId="5808C8C8"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26.473</w:t>
            </w:r>
          </w:p>
        </w:tc>
        <w:tc>
          <w:tcPr>
            <w:tcW w:w="567" w:type="dxa"/>
            <w:shd w:val="clear" w:color="auto" w:fill="auto"/>
            <w:vAlign w:val="center"/>
          </w:tcPr>
          <w:p w14:paraId="640B7DCB"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.000</w:t>
            </w:r>
          </w:p>
        </w:tc>
      </w:tr>
      <w:tr w:rsidR="00E23C3B" w:rsidRPr="007646AE" w14:paraId="33E6447B" w14:textId="77777777" w:rsidTr="009344CD">
        <w:trPr>
          <w:cantSplit/>
          <w:trHeight w:val="103"/>
        </w:trPr>
        <w:tc>
          <w:tcPr>
            <w:tcW w:w="227" w:type="dxa"/>
            <w:vMerge/>
            <w:shd w:val="clear" w:color="auto" w:fill="auto"/>
          </w:tcPr>
          <w:p w14:paraId="33952913" w14:textId="77777777" w:rsidR="00E23C3B" w:rsidRPr="007646AE" w:rsidRDefault="00E23C3B" w:rsidP="009344CD">
            <w:pPr>
              <w:autoSpaceDE w:val="0"/>
              <w:autoSpaceDN w:val="0"/>
              <w:adjustRightInd w:val="0"/>
              <w:rPr>
                <w:sz w:val="14"/>
                <w:szCs w:val="14"/>
              </w:rPr>
            </w:pPr>
          </w:p>
        </w:tc>
        <w:tc>
          <w:tcPr>
            <w:tcW w:w="810" w:type="dxa"/>
            <w:shd w:val="clear" w:color="auto" w:fill="auto"/>
          </w:tcPr>
          <w:p w14:paraId="7C559D6F" w14:textId="77777777" w:rsidR="00E23C3B" w:rsidRPr="007646AE" w:rsidRDefault="00E23C3B" w:rsidP="009344CD">
            <w:pPr>
              <w:autoSpaceDE w:val="0"/>
              <w:autoSpaceDN w:val="0"/>
              <w:adjustRightInd w:val="0"/>
              <w:ind w:left="60" w:right="60"/>
              <w:rPr>
                <w:color w:val="000000"/>
                <w:sz w:val="14"/>
                <w:szCs w:val="14"/>
              </w:rPr>
            </w:pPr>
            <w:r w:rsidRPr="007646AE">
              <w:rPr>
                <w:color w:val="000000"/>
                <w:sz w:val="14"/>
                <w:szCs w:val="14"/>
              </w:rPr>
              <w:t>ROA</w:t>
            </w:r>
          </w:p>
        </w:tc>
        <w:tc>
          <w:tcPr>
            <w:tcW w:w="578" w:type="dxa"/>
            <w:shd w:val="clear" w:color="auto" w:fill="auto"/>
            <w:vAlign w:val="center"/>
          </w:tcPr>
          <w:p w14:paraId="7B859BDD"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-.955</w:t>
            </w:r>
          </w:p>
        </w:tc>
        <w:tc>
          <w:tcPr>
            <w:tcW w:w="507" w:type="dxa"/>
            <w:shd w:val="clear" w:color="auto" w:fill="auto"/>
            <w:vAlign w:val="center"/>
          </w:tcPr>
          <w:p w14:paraId="4FB966E5"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.141</w:t>
            </w:r>
          </w:p>
        </w:tc>
        <w:tc>
          <w:tcPr>
            <w:tcW w:w="992" w:type="dxa"/>
            <w:shd w:val="clear" w:color="auto" w:fill="auto"/>
            <w:vAlign w:val="center"/>
          </w:tcPr>
          <w:p w14:paraId="16AD318A"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-.409</w:t>
            </w:r>
          </w:p>
        </w:tc>
        <w:tc>
          <w:tcPr>
            <w:tcW w:w="567" w:type="dxa"/>
            <w:shd w:val="clear" w:color="auto" w:fill="auto"/>
            <w:vAlign w:val="center"/>
          </w:tcPr>
          <w:p w14:paraId="0D524684"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-6.776</w:t>
            </w:r>
          </w:p>
        </w:tc>
        <w:tc>
          <w:tcPr>
            <w:tcW w:w="567" w:type="dxa"/>
            <w:shd w:val="clear" w:color="auto" w:fill="auto"/>
            <w:vAlign w:val="center"/>
          </w:tcPr>
          <w:p w14:paraId="2867DF17"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.000</w:t>
            </w:r>
          </w:p>
        </w:tc>
      </w:tr>
      <w:tr w:rsidR="00E23C3B" w:rsidRPr="007646AE" w14:paraId="5F3265C7" w14:textId="77777777" w:rsidTr="009344CD">
        <w:trPr>
          <w:cantSplit/>
          <w:trHeight w:val="103"/>
        </w:trPr>
        <w:tc>
          <w:tcPr>
            <w:tcW w:w="227" w:type="dxa"/>
            <w:vMerge/>
            <w:shd w:val="clear" w:color="auto" w:fill="auto"/>
          </w:tcPr>
          <w:p w14:paraId="23DDF555" w14:textId="77777777" w:rsidR="00E23C3B" w:rsidRPr="007646AE" w:rsidRDefault="00E23C3B" w:rsidP="009344CD">
            <w:pPr>
              <w:autoSpaceDE w:val="0"/>
              <w:autoSpaceDN w:val="0"/>
              <w:adjustRightInd w:val="0"/>
              <w:rPr>
                <w:color w:val="000000"/>
                <w:sz w:val="14"/>
                <w:szCs w:val="14"/>
              </w:rPr>
            </w:pPr>
          </w:p>
        </w:tc>
        <w:tc>
          <w:tcPr>
            <w:tcW w:w="810" w:type="dxa"/>
            <w:shd w:val="clear" w:color="auto" w:fill="auto"/>
          </w:tcPr>
          <w:p w14:paraId="15197EC5" w14:textId="77777777" w:rsidR="00E23C3B" w:rsidRPr="007646AE" w:rsidRDefault="00E23C3B" w:rsidP="009344CD">
            <w:pPr>
              <w:autoSpaceDE w:val="0"/>
              <w:autoSpaceDN w:val="0"/>
              <w:adjustRightInd w:val="0"/>
              <w:ind w:left="60" w:right="60"/>
              <w:rPr>
                <w:color w:val="000000"/>
                <w:sz w:val="14"/>
                <w:szCs w:val="14"/>
              </w:rPr>
            </w:pPr>
            <w:r w:rsidRPr="007646AE">
              <w:rPr>
                <w:color w:val="000000"/>
                <w:sz w:val="14"/>
                <w:szCs w:val="14"/>
              </w:rPr>
              <w:t>DER</w:t>
            </w:r>
          </w:p>
        </w:tc>
        <w:tc>
          <w:tcPr>
            <w:tcW w:w="578" w:type="dxa"/>
            <w:shd w:val="clear" w:color="auto" w:fill="auto"/>
            <w:vAlign w:val="center"/>
          </w:tcPr>
          <w:p w14:paraId="0E210A96"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-1.396</w:t>
            </w:r>
          </w:p>
        </w:tc>
        <w:tc>
          <w:tcPr>
            <w:tcW w:w="507" w:type="dxa"/>
            <w:shd w:val="clear" w:color="auto" w:fill="auto"/>
            <w:vAlign w:val="center"/>
          </w:tcPr>
          <w:p w14:paraId="249FC6C1"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.139</w:t>
            </w:r>
          </w:p>
        </w:tc>
        <w:tc>
          <w:tcPr>
            <w:tcW w:w="992" w:type="dxa"/>
            <w:shd w:val="clear" w:color="auto" w:fill="auto"/>
            <w:vAlign w:val="center"/>
          </w:tcPr>
          <w:p w14:paraId="20989EAD"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-.608</w:t>
            </w:r>
          </w:p>
        </w:tc>
        <w:tc>
          <w:tcPr>
            <w:tcW w:w="567" w:type="dxa"/>
            <w:shd w:val="clear" w:color="auto" w:fill="auto"/>
            <w:vAlign w:val="center"/>
          </w:tcPr>
          <w:p w14:paraId="1A0C0E0B"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-10.074</w:t>
            </w:r>
          </w:p>
        </w:tc>
        <w:tc>
          <w:tcPr>
            <w:tcW w:w="567" w:type="dxa"/>
            <w:shd w:val="clear" w:color="auto" w:fill="auto"/>
            <w:vAlign w:val="center"/>
          </w:tcPr>
          <w:p w14:paraId="5B838281" w14:textId="77777777" w:rsidR="00E23C3B" w:rsidRPr="007646AE" w:rsidRDefault="00E23C3B" w:rsidP="009344CD">
            <w:pPr>
              <w:autoSpaceDE w:val="0"/>
              <w:autoSpaceDN w:val="0"/>
              <w:adjustRightInd w:val="0"/>
              <w:ind w:left="60" w:right="60"/>
              <w:jc w:val="right"/>
              <w:rPr>
                <w:color w:val="000000"/>
                <w:sz w:val="14"/>
                <w:szCs w:val="14"/>
              </w:rPr>
            </w:pPr>
            <w:r w:rsidRPr="007646AE">
              <w:rPr>
                <w:color w:val="000000"/>
                <w:sz w:val="14"/>
                <w:szCs w:val="14"/>
              </w:rPr>
              <w:t>.000</w:t>
            </w:r>
          </w:p>
        </w:tc>
      </w:tr>
    </w:tbl>
    <w:p w14:paraId="30E52266" w14:textId="77777777" w:rsidR="00E23C3B" w:rsidRPr="002B3708" w:rsidRDefault="00E23C3B" w:rsidP="007E3081">
      <w:pPr>
        <w:widowControl w:val="0"/>
        <w:autoSpaceDE w:val="0"/>
        <w:spacing w:line="247" w:lineRule="auto"/>
        <w:ind w:right="-1"/>
        <w:rPr>
          <w:spacing w:val="-2"/>
          <w:sz w:val="18"/>
          <w:szCs w:val="18"/>
        </w:rPr>
      </w:pPr>
    </w:p>
    <w:p w14:paraId="6E521C01" w14:textId="18AC2CD4" w:rsidR="007E3081" w:rsidRDefault="00E23C3B" w:rsidP="00E23C3B">
      <w:pPr>
        <w:widowControl w:val="0"/>
        <w:autoSpaceDE w:val="0"/>
        <w:spacing w:line="247" w:lineRule="auto"/>
        <w:ind w:right="-1" w:firstLine="567"/>
        <w:rPr>
          <w:spacing w:val="-2"/>
          <w:lang w:val="en-ID"/>
        </w:rPr>
      </w:pPr>
      <w:r w:rsidRPr="00E23C3B">
        <w:rPr>
          <w:spacing w:val="-2"/>
        </w:rPr>
        <w:t>Hipotesis pertama : Return On Asset (ROA) berpengaruh terhadap harga saham. Berdasarkan tabel dapat diketahui bahwa nilai signifikansi dari variabel Return On Asset (ROA) sebesar 0,000 serta nilai t tabel 2,034. Karena nilai signifikansinya 0,000 &lt; 0,05 dan nilai t hitung &gt; t tabel atau 6,776&gt; 2,034. Maka dapat disimpulkan bahwa Return Om Asset (ROA) berpengaruh positif dan signifikan terhadap Harga Saham.</w:t>
      </w:r>
    </w:p>
    <w:p w14:paraId="20408354" w14:textId="1A1C9B74" w:rsidR="00E23C3B" w:rsidRDefault="00E23C3B" w:rsidP="00E23C3B">
      <w:pPr>
        <w:widowControl w:val="0"/>
        <w:autoSpaceDE w:val="0"/>
        <w:spacing w:line="247" w:lineRule="auto"/>
        <w:ind w:right="-1" w:firstLine="567"/>
        <w:rPr>
          <w:spacing w:val="-2"/>
        </w:rPr>
      </w:pPr>
      <w:r w:rsidRPr="00E23C3B">
        <w:rPr>
          <w:spacing w:val="-2"/>
        </w:rPr>
        <w:t>Hipotesis kedua : Debt to Equity Ratio (DER) berpengaruh terhadap harga saham. Berdasarkan tabel tersebut, diketahui bahwa nilai signifikansi dari variabel Debt to Equity Ratio (DER) sebesar 0,000 serta nilai t tabel 2,034. Karena nilai signifikansinya 0,000 &lt; 0,05 dan nilai t hitung &gt; t tabel atau 10.074 &gt; 2,034. Maka dapat disimpulkan bahwa Debt to Equity Ratio (DER) berpengaruh positif dan signifikan terhadap Harga Saham.</w:t>
      </w:r>
    </w:p>
    <w:p w14:paraId="56846BA9" w14:textId="312306EA" w:rsidR="00E23C3B" w:rsidRDefault="00E23C3B" w:rsidP="00E23C3B">
      <w:pPr>
        <w:widowControl w:val="0"/>
        <w:autoSpaceDE w:val="0"/>
        <w:spacing w:line="247" w:lineRule="auto"/>
        <w:ind w:right="-1" w:firstLine="567"/>
        <w:rPr>
          <w:spacing w:val="-2"/>
        </w:rPr>
      </w:pPr>
    </w:p>
    <w:p w14:paraId="27CD14A7" w14:textId="77777777" w:rsidR="00E23C3B" w:rsidRPr="002B3708" w:rsidRDefault="00E23C3B" w:rsidP="00E23C3B">
      <w:pPr>
        <w:widowControl w:val="0"/>
        <w:autoSpaceDE w:val="0"/>
        <w:spacing w:line="247" w:lineRule="auto"/>
        <w:ind w:right="-1" w:firstLine="567"/>
        <w:rPr>
          <w:spacing w:val="-2"/>
          <w:lang w:val="en-ID"/>
        </w:rPr>
      </w:pPr>
    </w:p>
    <w:p w14:paraId="57B4FEE1" w14:textId="77777777" w:rsidR="002B3708" w:rsidRPr="007E3081" w:rsidRDefault="002B3708" w:rsidP="007E3081">
      <w:pPr>
        <w:widowControl w:val="0"/>
        <w:autoSpaceDE w:val="0"/>
        <w:spacing w:line="247" w:lineRule="auto"/>
        <w:ind w:right="-1"/>
        <w:rPr>
          <w:spacing w:val="-2"/>
        </w:rPr>
      </w:pPr>
    </w:p>
    <w:p w14:paraId="193A7197" w14:textId="72D0AFC6" w:rsidR="007E3081" w:rsidRDefault="002B3708" w:rsidP="007E3081">
      <w:pPr>
        <w:pStyle w:val="ListParagraph"/>
        <w:widowControl w:val="0"/>
        <w:numPr>
          <w:ilvl w:val="0"/>
          <w:numId w:val="7"/>
        </w:numPr>
        <w:autoSpaceDE w:val="0"/>
        <w:spacing w:after="0" w:line="247" w:lineRule="auto"/>
        <w:ind w:right="-1"/>
        <w:jc w:val="both"/>
        <w:rPr>
          <w:rFonts w:ascii="Times New Roman" w:hAnsi="Times New Roman"/>
          <w:spacing w:val="-2"/>
          <w:sz w:val="20"/>
          <w:szCs w:val="20"/>
        </w:rPr>
      </w:pPr>
      <w:r>
        <w:rPr>
          <w:rFonts w:ascii="Times New Roman" w:hAnsi="Times New Roman"/>
          <w:spacing w:val="-2"/>
          <w:sz w:val="20"/>
          <w:szCs w:val="20"/>
        </w:rPr>
        <w:lastRenderedPageBreak/>
        <w:t>Uji F(Simultan)</w:t>
      </w:r>
    </w:p>
    <w:p w14:paraId="765DD165" w14:textId="59F261A7" w:rsidR="002B3708" w:rsidRDefault="00E23C3B" w:rsidP="002B3708">
      <w:pPr>
        <w:widowControl w:val="0"/>
        <w:autoSpaceDE w:val="0"/>
        <w:spacing w:line="247" w:lineRule="auto"/>
        <w:ind w:right="-1"/>
        <w:rPr>
          <w:spacing w:val="-2"/>
          <w:sz w:val="18"/>
          <w:szCs w:val="18"/>
        </w:rPr>
      </w:pPr>
      <w:r>
        <w:rPr>
          <w:spacing w:val="-2"/>
          <w:sz w:val="18"/>
          <w:szCs w:val="18"/>
        </w:rPr>
        <w:t>Tabel 7</w:t>
      </w:r>
      <w:r w:rsidR="002B3708" w:rsidRPr="002B3708">
        <w:rPr>
          <w:spacing w:val="-2"/>
          <w:sz w:val="18"/>
          <w:szCs w:val="18"/>
        </w:rPr>
        <w:t>. Uji F (Simultan)</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
        <w:gridCol w:w="851"/>
        <w:gridCol w:w="1017"/>
        <w:gridCol w:w="283"/>
        <w:gridCol w:w="992"/>
        <w:gridCol w:w="567"/>
        <w:gridCol w:w="426"/>
      </w:tblGrid>
      <w:tr w:rsidR="00E23C3B" w:rsidRPr="00E23C3B" w14:paraId="0D29864C" w14:textId="77777777" w:rsidTr="00E23C3B">
        <w:trPr>
          <w:cantSplit/>
          <w:trHeight w:val="308"/>
        </w:trPr>
        <w:tc>
          <w:tcPr>
            <w:tcW w:w="1105" w:type="dxa"/>
            <w:gridSpan w:val="2"/>
            <w:shd w:val="clear" w:color="auto" w:fill="auto"/>
            <w:vAlign w:val="bottom"/>
          </w:tcPr>
          <w:p w14:paraId="084FD2E2" w14:textId="77777777" w:rsidR="00E23C3B" w:rsidRPr="00E23C3B" w:rsidRDefault="00E23C3B" w:rsidP="009344CD">
            <w:pPr>
              <w:autoSpaceDE w:val="0"/>
              <w:autoSpaceDN w:val="0"/>
              <w:adjustRightInd w:val="0"/>
              <w:ind w:left="60" w:right="60"/>
              <w:rPr>
                <w:color w:val="000000"/>
                <w:sz w:val="14"/>
                <w:szCs w:val="14"/>
              </w:rPr>
            </w:pPr>
            <w:r w:rsidRPr="00E23C3B">
              <w:rPr>
                <w:color w:val="000000"/>
                <w:sz w:val="14"/>
                <w:szCs w:val="14"/>
              </w:rPr>
              <w:t>Model</w:t>
            </w:r>
          </w:p>
        </w:tc>
        <w:tc>
          <w:tcPr>
            <w:tcW w:w="1017" w:type="dxa"/>
            <w:shd w:val="clear" w:color="auto" w:fill="auto"/>
            <w:vAlign w:val="bottom"/>
          </w:tcPr>
          <w:p w14:paraId="7959D1E9" w14:textId="77777777" w:rsidR="00E23C3B" w:rsidRPr="00E23C3B" w:rsidRDefault="00E23C3B" w:rsidP="009344CD">
            <w:pPr>
              <w:autoSpaceDE w:val="0"/>
              <w:autoSpaceDN w:val="0"/>
              <w:adjustRightInd w:val="0"/>
              <w:ind w:left="60" w:right="60"/>
              <w:jc w:val="center"/>
              <w:rPr>
                <w:color w:val="000000"/>
                <w:sz w:val="14"/>
                <w:szCs w:val="14"/>
              </w:rPr>
            </w:pPr>
            <w:r w:rsidRPr="00E23C3B">
              <w:rPr>
                <w:color w:val="000000"/>
                <w:sz w:val="14"/>
                <w:szCs w:val="14"/>
              </w:rPr>
              <w:t>Sum of Squares</w:t>
            </w:r>
          </w:p>
        </w:tc>
        <w:tc>
          <w:tcPr>
            <w:tcW w:w="283" w:type="dxa"/>
            <w:shd w:val="clear" w:color="auto" w:fill="auto"/>
            <w:vAlign w:val="bottom"/>
          </w:tcPr>
          <w:p w14:paraId="05D6BF20" w14:textId="77777777" w:rsidR="00E23C3B" w:rsidRPr="00E23C3B" w:rsidRDefault="00E23C3B" w:rsidP="009344CD">
            <w:pPr>
              <w:autoSpaceDE w:val="0"/>
              <w:autoSpaceDN w:val="0"/>
              <w:adjustRightInd w:val="0"/>
              <w:ind w:left="60" w:right="60"/>
              <w:jc w:val="center"/>
              <w:rPr>
                <w:color w:val="000000"/>
                <w:sz w:val="14"/>
                <w:szCs w:val="14"/>
              </w:rPr>
            </w:pPr>
            <w:r w:rsidRPr="00E23C3B">
              <w:rPr>
                <w:color w:val="000000"/>
                <w:sz w:val="14"/>
                <w:szCs w:val="14"/>
              </w:rPr>
              <w:t>df</w:t>
            </w:r>
          </w:p>
        </w:tc>
        <w:tc>
          <w:tcPr>
            <w:tcW w:w="992" w:type="dxa"/>
            <w:shd w:val="clear" w:color="auto" w:fill="auto"/>
            <w:vAlign w:val="bottom"/>
          </w:tcPr>
          <w:p w14:paraId="1A6EDC42" w14:textId="77777777" w:rsidR="00E23C3B" w:rsidRPr="00E23C3B" w:rsidRDefault="00E23C3B" w:rsidP="009344CD">
            <w:pPr>
              <w:autoSpaceDE w:val="0"/>
              <w:autoSpaceDN w:val="0"/>
              <w:adjustRightInd w:val="0"/>
              <w:ind w:left="60" w:right="60"/>
              <w:jc w:val="center"/>
              <w:rPr>
                <w:color w:val="000000"/>
                <w:sz w:val="14"/>
                <w:szCs w:val="14"/>
              </w:rPr>
            </w:pPr>
            <w:r w:rsidRPr="00E23C3B">
              <w:rPr>
                <w:color w:val="000000"/>
                <w:sz w:val="14"/>
                <w:szCs w:val="14"/>
              </w:rPr>
              <w:t>Mean Square</w:t>
            </w:r>
          </w:p>
        </w:tc>
        <w:tc>
          <w:tcPr>
            <w:tcW w:w="567" w:type="dxa"/>
            <w:shd w:val="clear" w:color="auto" w:fill="auto"/>
            <w:vAlign w:val="bottom"/>
          </w:tcPr>
          <w:p w14:paraId="2A049B35" w14:textId="77777777" w:rsidR="00E23C3B" w:rsidRPr="00E23C3B" w:rsidRDefault="00E23C3B" w:rsidP="009344CD">
            <w:pPr>
              <w:autoSpaceDE w:val="0"/>
              <w:autoSpaceDN w:val="0"/>
              <w:adjustRightInd w:val="0"/>
              <w:ind w:left="60" w:right="60"/>
              <w:jc w:val="center"/>
              <w:rPr>
                <w:color w:val="000000"/>
                <w:sz w:val="14"/>
                <w:szCs w:val="14"/>
              </w:rPr>
            </w:pPr>
            <w:r w:rsidRPr="00E23C3B">
              <w:rPr>
                <w:color w:val="000000"/>
                <w:sz w:val="14"/>
                <w:szCs w:val="14"/>
              </w:rPr>
              <w:t>F</w:t>
            </w:r>
          </w:p>
        </w:tc>
        <w:tc>
          <w:tcPr>
            <w:tcW w:w="426" w:type="dxa"/>
            <w:shd w:val="clear" w:color="auto" w:fill="auto"/>
            <w:vAlign w:val="bottom"/>
          </w:tcPr>
          <w:p w14:paraId="0DC301D2" w14:textId="77777777" w:rsidR="00E23C3B" w:rsidRPr="00E23C3B" w:rsidRDefault="00E23C3B" w:rsidP="009344CD">
            <w:pPr>
              <w:autoSpaceDE w:val="0"/>
              <w:autoSpaceDN w:val="0"/>
              <w:adjustRightInd w:val="0"/>
              <w:ind w:left="60" w:right="60"/>
              <w:jc w:val="center"/>
              <w:rPr>
                <w:color w:val="000000"/>
                <w:sz w:val="14"/>
                <w:szCs w:val="14"/>
              </w:rPr>
            </w:pPr>
            <w:r w:rsidRPr="00E23C3B">
              <w:rPr>
                <w:color w:val="000000"/>
                <w:sz w:val="14"/>
                <w:szCs w:val="14"/>
              </w:rPr>
              <w:t>Sig.</w:t>
            </w:r>
          </w:p>
        </w:tc>
      </w:tr>
      <w:tr w:rsidR="00E23C3B" w:rsidRPr="00E23C3B" w14:paraId="6B5D3F9A" w14:textId="77777777" w:rsidTr="00E23C3B">
        <w:trPr>
          <w:cantSplit/>
          <w:trHeight w:val="325"/>
        </w:trPr>
        <w:tc>
          <w:tcPr>
            <w:tcW w:w="254" w:type="dxa"/>
            <w:vMerge w:val="restart"/>
            <w:shd w:val="clear" w:color="auto" w:fill="auto"/>
          </w:tcPr>
          <w:p w14:paraId="0D11BD25" w14:textId="77777777" w:rsidR="00E23C3B" w:rsidRPr="00E23C3B" w:rsidRDefault="00E23C3B" w:rsidP="009344CD">
            <w:pPr>
              <w:autoSpaceDE w:val="0"/>
              <w:autoSpaceDN w:val="0"/>
              <w:adjustRightInd w:val="0"/>
              <w:ind w:left="60" w:right="60"/>
              <w:rPr>
                <w:color w:val="000000"/>
                <w:sz w:val="14"/>
                <w:szCs w:val="14"/>
              </w:rPr>
            </w:pPr>
            <w:r w:rsidRPr="00E23C3B">
              <w:rPr>
                <w:color w:val="000000"/>
                <w:sz w:val="14"/>
                <w:szCs w:val="14"/>
              </w:rPr>
              <w:t>1</w:t>
            </w:r>
          </w:p>
        </w:tc>
        <w:tc>
          <w:tcPr>
            <w:tcW w:w="851" w:type="dxa"/>
            <w:shd w:val="clear" w:color="auto" w:fill="auto"/>
          </w:tcPr>
          <w:p w14:paraId="7C91FC5F" w14:textId="77777777" w:rsidR="00E23C3B" w:rsidRPr="00E23C3B" w:rsidRDefault="00E23C3B" w:rsidP="009344CD">
            <w:pPr>
              <w:autoSpaceDE w:val="0"/>
              <w:autoSpaceDN w:val="0"/>
              <w:adjustRightInd w:val="0"/>
              <w:ind w:left="60" w:right="60"/>
              <w:rPr>
                <w:color w:val="000000"/>
                <w:sz w:val="14"/>
                <w:szCs w:val="14"/>
              </w:rPr>
            </w:pPr>
            <w:r w:rsidRPr="00E23C3B">
              <w:rPr>
                <w:color w:val="000000"/>
                <w:sz w:val="14"/>
                <w:szCs w:val="14"/>
              </w:rPr>
              <w:t>Regression</w:t>
            </w:r>
          </w:p>
        </w:tc>
        <w:tc>
          <w:tcPr>
            <w:tcW w:w="1017" w:type="dxa"/>
            <w:shd w:val="clear" w:color="auto" w:fill="auto"/>
            <w:vAlign w:val="center"/>
          </w:tcPr>
          <w:p w14:paraId="078BB0BE"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17369643.024</w:t>
            </w:r>
          </w:p>
        </w:tc>
        <w:tc>
          <w:tcPr>
            <w:tcW w:w="283" w:type="dxa"/>
            <w:shd w:val="clear" w:color="auto" w:fill="auto"/>
            <w:vAlign w:val="center"/>
          </w:tcPr>
          <w:p w14:paraId="15080F9D"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2</w:t>
            </w:r>
          </w:p>
        </w:tc>
        <w:tc>
          <w:tcPr>
            <w:tcW w:w="992" w:type="dxa"/>
            <w:shd w:val="clear" w:color="auto" w:fill="auto"/>
            <w:vAlign w:val="center"/>
          </w:tcPr>
          <w:p w14:paraId="714BC26A"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8684821.512</w:t>
            </w:r>
          </w:p>
        </w:tc>
        <w:tc>
          <w:tcPr>
            <w:tcW w:w="567" w:type="dxa"/>
            <w:shd w:val="clear" w:color="auto" w:fill="auto"/>
            <w:vAlign w:val="center"/>
          </w:tcPr>
          <w:p w14:paraId="026E482F" w14:textId="77777777" w:rsidR="00E23C3B" w:rsidRPr="00E23C3B" w:rsidRDefault="00E23C3B" w:rsidP="00E23C3B">
            <w:pPr>
              <w:autoSpaceDE w:val="0"/>
              <w:autoSpaceDN w:val="0"/>
              <w:adjustRightInd w:val="0"/>
              <w:ind w:right="60"/>
              <w:jc w:val="right"/>
              <w:rPr>
                <w:color w:val="000000"/>
                <w:sz w:val="14"/>
                <w:szCs w:val="14"/>
              </w:rPr>
            </w:pPr>
            <w:r w:rsidRPr="00E23C3B">
              <w:rPr>
                <w:color w:val="000000"/>
                <w:sz w:val="14"/>
                <w:szCs w:val="14"/>
              </w:rPr>
              <w:t>586.797</w:t>
            </w:r>
          </w:p>
        </w:tc>
        <w:tc>
          <w:tcPr>
            <w:tcW w:w="426" w:type="dxa"/>
            <w:shd w:val="clear" w:color="auto" w:fill="auto"/>
            <w:vAlign w:val="center"/>
          </w:tcPr>
          <w:p w14:paraId="5BD3E74C"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.000</w:t>
            </w:r>
            <w:r w:rsidRPr="00E23C3B">
              <w:rPr>
                <w:color w:val="000000"/>
                <w:sz w:val="14"/>
                <w:szCs w:val="14"/>
                <w:vertAlign w:val="superscript"/>
              </w:rPr>
              <w:t>b</w:t>
            </w:r>
          </w:p>
        </w:tc>
      </w:tr>
      <w:tr w:rsidR="00E23C3B" w:rsidRPr="00E23C3B" w14:paraId="3BDB9641" w14:textId="77777777" w:rsidTr="00E23C3B">
        <w:trPr>
          <w:cantSplit/>
          <w:trHeight w:val="140"/>
        </w:trPr>
        <w:tc>
          <w:tcPr>
            <w:tcW w:w="254" w:type="dxa"/>
            <w:vMerge/>
            <w:shd w:val="clear" w:color="auto" w:fill="auto"/>
          </w:tcPr>
          <w:p w14:paraId="735DE47D" w14:textId="77777777" w:rsidR="00E23C3B" w:rsidRPr="00E23C3B" w:rsidRDefault="00E23C3B" w:rsidP="009344CD">
            <w:pPr>
              <w:autoSpaceDE w:val="0"/>
              <w:autoSpaceDN w:val="0"/>
              <w:adjustRightInd w:val="0"/>
              <w:rPr>
                <w:color w:val="000000"/>
                <w:sz w:val="14"/>
                <w:szCs w:val="14"/>
              </w:rPr>
            </w:pPr>
          </w:p>
        </w:tc>
        <w:tc>
          <w:tcPr>
            <w:tcW w:w="851" w:type="dxa"/>
            <w:shd w:val="clear" w:color="auto" w:fill="auto"/>
          </w:tcPr>
          <w:p w14:paraId="74137ED3" w14:textId="77777777" w:rsidR="00E23C3B" w:rsidRPr="00E23C3B" w:rsidRDefault="00E23C3B" w:rsidP="009344CD">
            <w:pPr>
              <w:autoSpaceDE w:val="0"/>
              <w:autoSpaceDN w:val="0"/>
              <w:adjustRightInd w:val="0"/>
              <w:ind w:left="60" w:right="60"/>
              <w:rPr>
                <w:color w:val="000000"/>
                <w:sz w:val="14"/>
                <w:szCs w:val="14"/>
              </w:rPr>
            </w:pPr>
            <w:r w:rsidRPr="00E23C3B">
              <w:rPr>
                <w:color w:val="000000"/>
                <w:sz w:val="14"/>
                <w:szCs w:val="14"/>
              </w:rPr>
              <w:t>Residual</w:t>
            </w:r>
          </w:p>
        </w:tc>
        <w:tc>
          <w:tcPr>
            <w:tcW w:w="1017" w:type="dxa"/>
            <w:shd w:val="clear" w:color="auto" w:fill="auto"/>
            <w:vAlign w:val="center"/>
          </w:tcPr>
          <w:p w14:paraId="2AF568C1"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488412.976</w:t>
            </w:r>
          </w:p>
        </w:tc>
        <w:tc>
          <w:tcPr>
            <w:tcW w:w="283" w:type="dxa"/>
            <w:shd w:val="clear" w:color="auto" w:fill="auto"/>
            <w:vAlign w:val="center"/>
          </w:tcPr>
          <w:p w14:paraId="23C07095"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33</w:t>
            </w:r>
          </w:p>
        </w:tc>
        <w:tc>
          <w:tcPr>
            <w:tcW w:w="992" w:type="dxa"/>
            <w:shd w:val="clear" w:color="auto" w:fill="auto"/>
            <w:vAlign w:val="center"/>
          </w:tcPr>
          <w:p w14:paraId="28ABCE03"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14800.393</w:t>
            </w:r>
          </w:p>
        </w:tc>
        <w:tc>
          <w:tcPr>
            <w:tcW w:w="567" w:type="dxa"/>
            <w:shd w:val="clear" w:color="auto" w:fill="auto"/>
            <w:vAlign w:val="center"/>
          </w:tcPr>
          <w:p w14:paraId="620B004F" w14:textId="77777777" w:rsidR="00E23C3B" w:rsidRPr="00E23C3B" w:rsidRDefault="00E23C3B" w:rsidP="009344CD">
            <w:pPr>
              <w:autoSpaceDE w:val="0"/>
              <w:autoSpaceDN w:val="0"/>
              <w:adjustRightInd w:val="0"/>
              <w:rPr>
                <w:sz w:val="14"/>
                <w:szCs w:val="14"/>
              </w:rPr>
            </w:pPr>
          </w:p>
        </w:tc>
        <w:tc>
          <w:tcPr>
            <w:tcW w:w="426" w:type="dxa"/>
            <w:shd w:val="clear" w:color="auto" w:fill="auto"/>
            <w:vAlign w:val="center"/>
          </w:tcPr>
          <w:p w14:paraId="5B17D1E1" w14:textId="77777777" w:rsidR="00E23C3B" w:rsidRPr="00E23C3B" w:rsidRDefault="00E23C3B" w:rsidP="009344CD">
            <w:pPr>
              <w:autoSpaceDE w:val="0"/>
              <w:autoSpaceDN w:val="0"/>
              <w:adjustRightInd w:val="0"/>
              <w:rPr>
                <w:sz w:val="14"/>
                <w:szCs w:val="14"/>
              </w:rPr>
            </w:pPr>
          </w:p>
        </w:tc>
      </w:tr>
      <w:tr w:rsidR="00E23C3B" w:rsidRPr="00E23C3B" w14:paraId="7CAE948F" w14:textId="77777777" w:rsidTr="00E23C3B">
        <w:trPr>
          <w:cantSplit/>
          <w:trHeight w:val="140"/>
        </w:trPr>
        <w:tc>
          <w:tcPr>
            <w:tcW w:w="254" w:type="dxa"/>
            <w:vMerge/>
            <w:shd w:val="clear" w:color="auto" w:fill="auto"/>
          </w:tcPr>
          <w:p w14:paraId="72201C91" w14:textId="77777777" w:rsidR="00E23C3B" w:rsidRPr="00E23C3B" w:rsidRDefault="00E23C3B" w:rsidP="009344CD">
            <w:pPr>
              <w:autoSpaceDE w:val="0"/>
              <w:autoSpaceDN w:val="0"/>
              <w:adjustRightInd w:val="0"/>
              <w:rPr>
                <w:sz w:val="14"/>
                <w:szCs w:val="14"/>
              </w:rPr>
            </w:pPr>
          </w:p>
        </w:tc>
        <w:tc>
          <w:tcPr>
            <w:tcW w:w="851" w:type="dxa"/>
            <w:shd w:val="clear" w:color="auto" w:fill="auto"/>
          </w:tcPr>
          <w:p w14:paraId="54F4E887" w14:textId="77777777" w:rsidR="00E23C3B" w:rsidRPr="00E23C3B" w:rsidRDefault="00E23C3B" w:rsidP="009344CD">
            <w:pPr>
              <w:autoSpaceDE w:val="0"/>
              <w:autoSpaceDN w:val="0"/>
              <w:adjustRightInd w:val="0"/>
              <w:ind w:left="60" w:right="60"/>
              <w:rPr>
                <w:color w:val="000000"/>
                <w:sz w:val="14"/>
                <w:szCs w:val="14"/>
              </w:rPr>
            </w:pPr>
            <w:r w:rsidRPr="00E23C3B">
              <w:rPr>
                <w:color w:val="000000"/>
                <w:sz w:val="14"/>
                <w:szCs w:val="14"/>
              </w:rPr>
              <w:t>Total</w:t>
            </w:r>
          </w:p>
        </w:tc>
        <w:tc>
          <w:tcPr>
            <w:tcW w:w="1017" w:type="dxa"/>
            <w:shd w:val="clear" w:color="auto" w:fill="auto"/>
            <w:vAlign w:val="center"/>
          </w:tcPr>
          <w:p w14:paraId="528954A4"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17858056.000</w:t>
            </w:r>
          </w:p>
        </w:tc>
        <w:tc>
          <w:tcPr>
            <w:tcW w:w="283" w:type="dxa"/>
            <w:shd w:val="clear" w:color="auto" w:fill="auto"/>
            <w:vAlign w:val="center"/>
          </w:tcPr>
          <w:p w14:paraId="7980E9FF" w14:textId="77777777" w:rsidR="00E23C3B" w:rsidRPr="00E23C3B" w:rsidRDefault="00E23C3B" w:rsidP="009344CD">
            <w:pPr>
              <w:autoSpaceDE w:val="0"/>
              <w:autoSpaceDN w:val="0"/>
              <w:adjustRightInd w:val="0"/>
              <w:ind w:left="60" w:right="60"/>
              <w:jc w:val="right"/>
              <w:rPr>
                <w:color w:val="000000"/>
                <w:sz w:val="14"/>
                <w:szCs w:val="14"/>
              </w:rPr>
            </w:pPr>
            <w:r w:rsidRPr="00E23C3B">
              <w:rPr>
                <w:color w:val="000000"/>
                <w:sz w:val="14"/>
                <w:szCs w:val="14"/>
              </w:rPr>
              <w:t>35</w:t>
            </w:r>
          </w:p>
        </w:tc>
        <w:tc>
          <w:tcPr>
            <w:tcW w:w="992" w:type="dxa"/>
            <w:shd w:val="clear" w:color="auto" w:fill="auto"/>
            <w:vAlign w:val="center"/>
          </w:tcPr>
          <w:p w14:paraId="619DD458" w14:textId="77777777" w:rsidR="00E23C3B" w:rsidRPr="00E23C3B" w:rsidRDefault="00E23C3B" w:rsidP="009344CD">
            <w:pPr>
              <w:autoSpaceDE w:val="0"/>
              <w:autoSpaceDN w:val="0"/>
              <w:adjustRightInd w:val="0"/>
              <w:rPr>
                <w:sz w:val="14"/>
                <w:szCs w:val="14"/>
              </w:rPr>
            </w:pPr>
          </w:p>
        </w:tc>
        <w:tc>
          <w:tcPr>
            <w:tcW w:w="567" w:type="dxa"/>
            <w:shd w:val="clear" w:color="auto" w:fill="auto"/>
            <w:vAlign w:val="center"/>
          </w:tcPr>
          <w:p w14:paraId="7EE825C8" w14:textId="77777777" w:rsidR="00E23C3B" w:rsidRPr="00E23C3B" w:rsidRDefault="00E23C3B" w:rsidP="009344CD">
            <w:pPr>
              <w:autoSpaceDE w:val="0"/>
              <w:autoSpaceDN w:val="0"/>
              <w:adjustRightInd w:val="0"/>
              <w:rPr>
                <w:sz w:val="14"/>
                <w:szCs w:val="14"/>
              </w:rPr>
            </w:pPr>
          </w:p>
        </w:tc>
        <w:tc>
          <w:tcPr>
            <w:tcW w:w="426" w:type="dxa"/>
            <w:shd w:val="clear" w:color="auto" w:fill="auto"/>
            <w:vAlign w:val="center"/>
          </w:tcPr>
          <w:p w14:paraId="2AFE667D" w14:textId="77777777" w:rsidR="00E23C3B" w:rsidRPr="00E23C3B" w:rsidRDefault="00E23C3B" w:rsidP="009344CD">
            <w:pPr>
              <w:autoSpaceDE w:val="0"/>
              <w:autoSpaceDN w:val="0"/>
              <w:adjustRightInd w:val="0"/>
              <w:rPr>
                <w:sz w:val="14"/>
                <w:szCs w:val="14"/>
              </w:rPr>
            </w:pPr>
          </w:p>
        </w:tc>
      </w:tr>
    </w:tbl>
    <w:p w14:paraId="429925E6" w14:textId="77777777" w:rsidR="00E23C3B" w:rsidRPr="002B3708" w:rsidRDefault="00E23C3B" w:rsidP="002B3708">
      <w:pPr>
        <w:widowControl w:val="0"/>
        <w:autoSpaceDE w:val="0"/>
        <w:spacing w:line="247" w:lineRule="auto"/>
        <w:ind w:right="-1"/>
        <w:rPr>
          <w:spacing w:val="-2"/>
          <w:sz w:val="18"/>
          <w:szCs w:val="18"/>
        </w:rPr>
      </w:pPr>
    </w:p>
    <w:p w14:paraId="5AD29094" w14:textId="45824113" w:rsidR="002B3708" w:rsidRDefault="00E23C3B" w:rsidP="002B3708">
      <w:pPr>
        <w:widowControl w:val="0"/>
        <w:autoSpaceDE w:val="0"/>
        <w:spacing w:line="247" w:lineRule="auto"/>
        <w:ind w:right="-1" w:firstLine="567"/>
        <w:rPr>
          <w:spacing w:val="-2"/>
        </w:rPr>
      </w:pPr>
      <w:r w:rsidRPr="00E23C3B">
        <w:rPr>
          <w:spacing w:val="-2"/>
        </w:rPr>
        <w:t>Berlandaskan tabel diatas diketahui bahwa nilai F hitung adalah sebesar 586.797 dengan tingkat kepercayaan sebesar 0,000. Jika dilihat dari nilai Sig. dengan tingkat kepercayaan 0,05 atau 5%, maka 0,000 &lt; 0,05. Sesuai dengan dasar pengambilan keputusan dalam uji F, dapat disimpulkan bahwa model persamaan regresi adalah cocok atau terdapat kecocokan model antara variabel independen dengan variabel dependen.</w:t>
      </w:r>
    </w:p>
    <w:p w14:paraId="2E67CB29" w14:textId="77777777" w:rsidR="007E3081" w:rsidRPr="002B3708" w:rsidRDefault="007E3081" w:rsidP="002B3708">
      <w:pPr>
        <w:widowControl w:val="0"/>
        <w:autoSpaceDE w:val="0"/>
        <w:spacing w:line="247" w:lineRule="auto"/>
        <w:ind w:right="-1"/>
        <w:rPr>
          <w:spacing w:val="-2"/>
        </w:rPr>
      </w:pPr>
    </w:p>
    <w:p w14:paraId="4A470448" w14:textId="19787F20" w:rsidR="007E3081" w:rsidRPr="002B3708" w:rsidRDefault="002B3708" w:rsidP="003416BB">
      <w:pPr>
        <w:pStyle w:val="ListParagraph"/>
        <w:widowControl w:val="0"/>
        <w:numPr>
          <w:ilvl w:val="0"/>
          <w:numId w:val="4"/>
        </w:numPr>
        <w:autoSpaceDE w:val="0"/>
        <w:spacing w:after="0" w:line="247" w:lineRule="auto"/>
        <w:ind w:right="-1"/>
        <w:jc w:val="both"/>
        <w:rPr>
          <w:rFonts w:ascii="Times New Roman" w:hAnsi="Times New Roman"/>
          <w:b/>
          <w:bCs/>
          <w:spacing w:val="-2"/>
          <w:sz w:val="20"/>
          <w:szCs w:val="20"/>
        </w:rPr>
      </w:pPr>
      <w:r w:rsidRPr="002B3708">
        <w:rPr>
          <w:rFonts w:ascii="Times New Roman" w:hAnsi="Times New Roman"/>
          <w:b/>
          <w:bCs/>
          <w:spacing w:val="-2"/>
          <w:sz w:val="20"/>
          <w:szCs w:val="20"/>
        </w:rPr>
        <w:t>Uji Koefisien Determinasi</w:t>
      </w:r>
    </w:p>
    <w:p w14:paraId="3DE12962" w14:textId="66BC11B7" w:rsidR="002B3708" w:rsidRDefault="00E23C3B" w:rsidP="002B3708">
      <w:pPr>
        <w:widowControl w:val="0"/>
        <w:autoSpaceDE w:val="0"/>
        <w:spacing w:line="247" w:lineRule="auto"/>
        <w:ind w:right="-1"/>
        <w:rPr>
          <w:spacing w:val="-2"/>
          <w:sz w:val="18"/>
          <w:szCs w:val="18"/>
        </w:rPr>
      </w:pPr>
      <w:r>
        <w:rPr>
          <w:spacing w:val="-2"/>
          <w:sz w:val="18"/>
          <w:szCs w:val="18"/>
        </w:rPr>
        <w:t>Tabel 8</w:t>
      </w:r>
      <w:r w:rsidR="002B3708" w:rsidRPr="002B3708">
        <w:rPr>
          <w:spacing w:val="-2"/>
          <w:sz w:val="18"/>
          <w:szCs w:val="18"/>
        </w:rPr>
        <w:t>. Uji Determinasi</w:t>
      </w:r>
    </w:p>
    <w:tbl>
      <w:tblPr>
        <w:tblW w:w="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1"/>
        <w:gridCol w:w="567"/>
        <w:gridCol w:w="851"/>
        <w:gridCol w:w="850"/>
        <w:gridCol w:w="1134"/>
      </w:tblGrid>
      <w:tr w:rsidR="007646AE" w:rsidRPr="009765BB" w14:paraId="68E987F1" w14:textId="77777777" w:rsidTr="009344CD">
        <w:trPr>
          <w:cantSplit/>
          <w:jc w:val="center"/>
        </w:trPr>
        <w:tc>
          <w:tcPr>
            <w:tcW w:w="661" w:type="dxa"/>
            <w:shd w:val="clear" w:color="auto" w:fill="auto"/>
            <w:vAlign w:val="bottom"/>
          </w:tcPr>
          <w:p w14:paraId="083C0DF5" w14:textId="77777777" w:rsidR="007646AE" w:rsidRPr="009765BB" w:rsidRDefault="007646AE" w:rsidP="009344CD">
            <w:pPr>
              <w:autoSpaceDE w:val="0"/>
              <w:autoSpaceDN w:val="0"/>
              <w:adjustRightInd w:val="0"/>
              <w:ind w:left="60" w:right="60"/>
              <w:rPr>
                <w:color w:val="000000"/>
                <w:sz w:val="18"/>
                <w:szCs w:val="18"/>
              </w:rPr>
            </w:pPr>
            <w:r w:rsidRPr="009765BB">
              <w:rPr>
                <w:color w:val="000000"/>
                <w:sz w:val="18"/>
                <w:szCs w:val="18"/>
              </w:rPr>
              <w:t>Model</w:t>
            </w:r>
          </w:p>
        </w:tc>
        <w:tc>
          <w:tcPr>
            <w:tcW w:w="567" w:type="dxa"/>
            <w:shd w:val="clear" w:color="auto" w:fill="auto"/>
            <w:vAlign w:val="bottom"/>
          </w:tcPr>
          <w:p w14:paraId="02F01699" w14:textId="77777777" w:rsidR="007646AE" w:rsidRPr="009765BB" w:rsidRDefault="007646AE" w:rsidP="009344CD">
            <w:pPr>
              <w:autoSpaceDE w:val="0"/>
              <w:autoSpaceDN w:val="0"/>
              <w:adjustRightInd w:val="0"/>
              <w:ind w:left="60" w:right="60"/>
              <w:jc w:val="center"/>
              <w:rPr>
                <w:color w:val="000000"/>
                <w:sz w:val="18"/>
                <w:szCs w:val="18"/>
              </w:rPr>
            </w:pPr>
            <w:r w:rsidRPr="009765BB">
              <w:rPr>
                <w:color w:val="000000"/>
                <w:sz w:val="18"/>
                <w:szCs w:val="18"/>
              </w:rPr>
              <w:t>R</w:t>
            </w:r>
          </w:p>
        </w:tc>
        <w:tc>
          <w:tcPr>
            <w:tcW w:w="851" w:type="dxa"/>
            <w:shd w:val="clear" w:color="auto" w:fill="auto"/>
            <w:vAlign w:val="bottom"/>
          </w:tcPr>
          <w:p w14:paraId="4F9F8D99" w14:textId="77777777" w:rsidR="007646AE" w:rsidRPr="009765BB" w:rsidRDefault="007646AE" w:rsidP="009344CD">
            <w:pPr>
              <w:autoSpaceDE w:val="0"/>
              <w:autoSpaceDN w:val="0"/>
              <w:adjustRightInd w:val="0"/>
              <w:ind w:left="60" w:right="60"/>
              <w:jc w:val="center"/>
              <w:rPr>
                <w:color w:val="000000"/>
                <w:sz w:val="18"/>
                <w:szCs w:val="18"/>
              </w:rPr>
            </w:pPr>
            <w:r w:rsidRPr="009765BB">
              <w:rPr>
                <w:color w:val="000000"/>
                <w:sz w:val="18"/>
                <w:szCs w:val="18"/>
              </w:rPr>
              <w:t>R Square</w:t>
            </w:r>
          </w:p>
        </w:tc>
        <w:tc>
          <w:tcPr>
            <w:tcW w:w="850" w:type="dxa"/>
            <w:shd w:val="clear" w:color="auto" w:fill="auto"/>
            <w:vAlign w:val="bottom"/>
          </w:tcPr>
          <w:p w14:paraId="37081242" w14:textId="77777777" w:rsidR="007646AE" w:rsidRPr="009765BB" w:rsidRDefault="007646AE" w:rsidP="009344CD">
            <w:pPr>
              <w:autoSpaceDE w:val="0"/>
              <w:autoSpaceDN w:val="0"/>
              <w:adjustRightInd w:val="0"/>
              <w:ind w:left="60" w:right="60"/>
              <w:jc w:val="center"/>
              <w:rPr>
                <w:color w:val="000000"/>
                <w:sz w:val="18"/>
                <w:szCs w:val="18"/>
              </w:rPr>
            </w:pPr>
            <w:r w:rsidRPr="009765BB">
              <w:rPr>
                <w:color w:val="000000"/>
                <w:sz w:val="18"/>
                <w:szCs w:val="18"/>
              </w:rPr>
              <w:t>Adjusted R Square</w:t>
            </w:r>
          </w:p>
        </w:tc>
        <w:tc>
          <w:tcPr>
            <w:tcW w:w="1134" w:type="dxa"/>
            <w:shd w:val="clear" w:color="auto" w:fill="auto"/>
            <w:vAlign w:val="bottom"/>
          </w:tcPr>
          <w:p w14:paraId="4BB13921" w14:textId="77777777" w:rsidR="007646AE" w:rsidRPr="009765BB" w:rsidRDefault="007646AE" w:rsidP="009344CD">
            <w:pPr>
              <w:autoSpaceDE w:val="0"/>
              <w:autoSpaceDN w:val="0"/>
              <w:adjustRightInd w:val="0"/>
              <w:ind w:left="60" w:right="60"/>
              <w:jc w:val="center"/>
              <w:rPr>
                <w:color w:val="000000"/>
                <w:sz w:val="18"/>
                <w:szCs w:val="18"/>
              </w:rPr>
            </w:pPr>
            <w:r w:rsidRPr="009765BB">
              <w:rPr>
                <w:color w:val="000000"/>
                <w:sz w:val="18"/>
                <w:szCs w:val="18"/>
              </w:rPr>
              <w:t>Std. Error of the Estimate</w:t>
            </w:r>
          </w:p>
        </w:tc>
      </w:tr>
      <w:tr w:rsidR="007646AE" w:rsidRPr="009765BB" w14:paraId="2E242BA0" w14:textId="77777777" w:rsidTr="009344CD">
        <w:trPr>
          <w:cantSplit/>
          <w:jc w:val="center"/>
        </w:trPr>
        <w:tc>
          <w:tcPr>
            <w:tcW w:w="661" w:type="dxa"/>
            <w:shd w:val="clear" w:color="auto" w:fill="auto"/>
          </w:tcPr>
          <w:p w14:paraId="62112A66" w14:textId="77777777" w:rsidR="007646AE" w:rsidRPr="009765BB" w:rsidRDefault="007646AE" w:rsidP="009344CD">
            <w:pPr>
              <w:autoSpaceDE w:val="0"/>
              <w:autoSpaceDN w:val="0"/>
              <w:adjustRightInd w:val="0"/>
              <w:ind w:left="60" w:right="60"/>
              <w:rPr>
                <w:color w:val="000000"/>
                <w:sz w:val="18"/>
                <w:szCs w:val="18"/>
              </w:rPr>
            </w:pPr>
            <w:r w:rsidRPr="009765BB">
              <w:rPr>
                <w:color w:val="000000"/>
                <w:sz w:val="18"/>
                <w:szCs w:val="18"/>
              </w:rPr>
              <w:t>1</w:t>
            </w:r>
          </w:p>
        </w:tc>
        <w:tc>
          <w:tcPr>
            <w:tcW w:w="567" w:type="dxa"/>
            <w:shd w:val="clear" w:color="auto" w:fill="auto"/>
            <w:vAlign w:val="center"/>
          </w:tcPr>
          <w:p w14:paraId="479482F1" w14:textId="77777777" w:rsidR="007646AE" w:rsidRPr="009765BB" w:rsidRDefault="007646AE" w:rsidP="009344CD">
            <w:pPr>
              <w:autoSpaceDE w:val="0"/>
              <w:autoSpaceDN w:val="0"/>
              <w:adjustRightInd w:val="0"/>
              <w:ind w:left="60" w:right="60"/>
              <w:jc w:val="right"/>
              <w:rPr>
                <w:color w:val="000000"/>
                <w:sz w:val="18"/>
                <w:szCs w:val="18"/>
              </w:rPr>
            </w:pPr>
            <w:r w:rsidRPr="009765BB">
              <w:rPr>
                <w:color w:val="000000"/>
                <w:sz w:val="18"/>
                <w:szCs w:val="18"/>
              </w:rPr>
              <w:t>.986</w:t>
            </w:r>
            <w:r w:rsidRPr="009765BB">
              <w:rPr>
                <w:color w:val="000000"/>
                <w:sz w:val="18"/>
                <w:szCs w:val="18"/>
                <w:vertAlign w:val="superscript"/>
              </w:rPr>
              <w:t>a</w:t>
            </w:r>
          </w:p>
        </w:tc>
        <w:tc>
          <w:tcPr>
            <w:tcW w:w="851" w:type="dxa"/>
            <w:shd w:val="clear" w:color="auto" w:fill="auto"/>
            <w:vAlign w:val="center"/>
          </w:tcPr>
          <w:p w14:paraId="27702301" w14:textId="77777777" w:rsidR="007646AE" w:rsidRPr="009765BB" w:rsidRDefault="007646AE" w:rsidP="009344CD">
            <w:pPr>
              <w:autoSpaceDE w:val="0"/>
              <w:autoSpaceDN w:val="0"/>
              <w:adjustRightInd w:val="0"/>
              <w:ind w:left="60" w:right="60"/>
              <w:jc w:val="right"/>
              <w:rPr>
                <w:color w:val="000000"/>
                <w:sz w:val="18"/>
                <w:szCs w:val="18"/>
              </w:rPr>
            </w:pPr>
            <w:r w:rsidRPr="009765BB">
              <w:rPr>
                <w:color w:val="000000"/>
                <w:sz w:val="18"/>
                <w:szCs w:val="18"/>
              </w:rPr>
              <w:t>.973</w:t>
            </w:r>
          </w:p>
        </w:tc>
        <w:tc>
          <w:tcPr>
            <w:tcW w:w="850" w:type="dxa"/>
            <w:shd w:val="clear" w:color="auto" w:fill="auto"/>
            <w:vAlign w:val="center"/>
          </w:tcPr>
          <w:p w14:paraId="13FBB3D5" w14:textId="77777777" w:rsidR="007646AE" w:rsidRPr="009765BB" w:rsidRDefault="007646AE" w:rsidP="009344CD">
            <w:pPr>
              <w:autoSpaceDE w:val="0"/>
              <w:autoSpaceDN w:val="0"/>
              <w:adjustRightInd w:val="0"/>
              <w:ind w:left="60" w:right="60"/>
              <w:jc w:val="right"/>
              <w:rPr>
                <w:color w:val="000000"/>
                <w:sz w:val="18"/>
                <w:szCs w:val="18"/>
              </w:rPr>
            </w:pPr>
            <w:r w:rsidRPr="009765BB">
              <w:rPr>
                <w:color w:val="000000"/>
                <w:sz w:val="18"/>
                <w:szCs w:val="18"/>
              </w:rPr>
              <w:t>.971</w:t>
            </w:r>
          </w:p>
        </w:tc>
        <w:tc>
          <w:tcPr>
            <w:tcW w:w="1134" w:type="dxa"/>
            <w:shd w:val="clear" w:color="auto" w:fill="auto"/>
            <w:vAlign w:val="center"/>
          </w:tcPr>
          <w:p w14:paraId="3A2EBD62" w14:textId="77777777" w:rsidR="007646AE" w:rsidRPr="009765BB" w:rsidRDefault="007646AE" w:rsidP="009344CD">
            <w:pPr>
              <w:autoSpaceDE w:val="0"/>
              <w:autoSpaceDN w:val="0"/>
              <w:adjustRightInd w:val="0"/>
              <w:ind w:left="60" w:right="60"/>
              <w:jc w:val="right"/>
              <w:rPr>
                <w:color w:val="000000"/>
                <w:sz w:val="18"/>
                <w:szCs w:val="18"/>
              </w:rPr>
            </w:pPr>
            <w:r w:rsidRPr="009765BB">
              <w:rPr>
                <w:color w:val="000000"/>
                <w:sz w:val="18"/>
                <w:szCs w:val="18"/>
              </w:rPr>
              <w:t>121.657</w:t>
            </w:r>
          </w:p>
        </w:tc>
      </w:tr>
    </w:tbl>
    <w:p w14:paraId="4B549DF1" w14:textId="77777777" w:rsidR="007646AE" w:rsidRPr="002B3708" w:rsidRDefault="007646AE" w:rsidP="002B3708">
      <w:pPr>
        <w:widowControl w:val="0"/>
        <w:autoSpaceDE w:val="0"/>
        <w:spacing w:line="247" w:lineRule="auto"/>
        <w:ind w:right="-1"/>
        <w:rPr>
          <w:spacing w:val="-2"/>
          <w:sz w:val="18"/>
          <w:szCs w:val="18"/>
        </w:rPr>
      </w:pPr>
    </w:p>
    <w:p w14:paraId="64ACE55C" w14:textId="3A5A0F4D" w:rsidR="002B3708" w:rsidRDefault="00E23C3B" w:rsidP="002B3708">
      <w:pPr>
        <w:widowControl w:val="0"/>
        <w:autoSpaceDE w:val="0"/>
        <w:spacing w:line="247" w:lineRule="auto"/>
        <w:ind w:right="-1" w:firstLine="567"/>
        <w:rPr>
          <w:spacing w:val="-2"/>
        </w:rPr>
      </w:pPr>
      <w:r w:rsidRPr="00E23C3B">
        <w:rPr>
          <w:spacing w:val="-2"/>
        </w:rPr>
        <w:t xml:space="preserve">Berdasarkan tabel </w:t>
      </w:r>
      <w:r>
        <w:rPr>
          <w:spacing w:val="-2"/>
        </w:rPr>
        <w:t>8.</w:t>
      </w:r>
      <w:r w:rsidRPr="00E23C3B">
        <w:rPr>
          <w:spacing w:val="-2"/>
        </w:rPr>
        <w:t xml:space="preserve"> Model regresi yang digunakan memiliki kemampuan yang sangat baik dalam menjelaskan variasi harga saham berdasarkan variabel-variabel independen ROA dan DER, dengan 97.3% dari variasi harga saham dapat dijelaskan oleh model ini. Koefisien korelasi yang sangat tinggi menunjukkan hubungan yang kuat antara variabel-variabel independen dan harga saham, sementara adjusted R² yang tinggi menegaskan keandalan model meskipun ada penyesuaian untuk jumlah variabel. Dengan standar error yang relatif rendah, model ini juga cukup akurat dalam memprediksi harga saham</w:t>
      </w:r>
    </w:p>
    <w:p w14:paraId="117EAE93" w14:textId="77777777" w:rsidR="002B3708" w:rsidRPr="002B3708" w:rsidRDefault="002B3708" w:rsidP="002B3708">
      <w:pPr>
        <w:widowControl w:val="0"/>
        <w:autoSpaceDE w:val="0"/>
        <w:spacing w:line="247" w:lineRule="auto"/>
        <w:ind w:right="-1"/>
        <w:rPr>
          <w:spacing w:val="-2"/>
        </w:rPr>
      </w:pPr>
    </w:p>
    <w:p w14:paraId="0F6464B7" w14:textId="2635D191" w:rsidR="002B3708" w:rsidRPr="002B3708" w:rsidRDefault="002B3708" w:rsidP="003416BB">
      <w:pPr>
        <w:pStyle w:val="ListParagraph"/>
        <w:widowControl w:val="0"/>
        <w:numPr>
          <w:ilvl w:val="0"/>
          <w:numId w:val="4"/>
        </w:numPr>
        <w:autoSpaceDE w:val="0"/>
        <w:spacing w:after="0" w:line="247" w:lineRule="auto"/>
        <w:ind w:right="-1"/>
        <w:jc w:val="both"/>
        <w:rPr>
          <w:rFonts w:ascii="Times New Roman" w:hAnsi="Times New Roman"/>
          <w:b/>
          <w:bCs/>
          <w:spacing w:val="-2"/>
          <w:sz w:val="20"/>
          <w:szCs w:val="20"/>
        </w:rPr>
      </w:pPr>
      <w:r w:rsidRPr="002B3708">
        <w:rPr>
          <w:rFonts w:ascii="Times New Roman" w:hAnsi="Times New Roman"/>
          <w:b/>
          <w:bCs/>
          <w:spacing w:val="-2"/>
          <w:sz w:val="20"/>
          <w:szCs w:val="20"/>
        </w:rPr>
        <w:t>Pembahasan Hasil Penelitian</w:t>
      </w:r>
    </w:p>
    <w:p w14:paraId="79B5668A" w14:textId="7380647B" w:rsidR="002B3708" w:rsidRPr="002B3708" w:rsidRDefault="002B3708" w:rsidP="002B3708">
      <w:pPr>
        <w:pStyle w:val="ListParagraph"/>
        <w:widowControl w:val="0"/>
        <w:numPr>
          <w:ilvl w:val="0"/>
          <w:numId w:val="10"/>
        </w:numPr>
        <w:autoSpaceDE w:val="0"/>
        <w:spacing w:after="0" w:line="247" w:lineRule="auto"/>
        <w:ind w:right="-1"/>
        <w:jc w:val="both"/>
        <w:rPr>
          <w:rFonts w:ascii="Times New Roman" w:hAnsi="Times New Roman"/>
          <w:spacing w:val="-2"/>
          <w:sz w:val="20"/>
          <w:szCs w:val="20"/>
        </w:rPr>
      </w:pPr>
      <w:bookmarkStart w:id="1" w:name="_Toc168749900"/>
      <w:r w:rsidRPr="002B3708">
        <w:rPr>
          <w:rFonts w:ascii="Times New Roman" w:hAnsi="Times New Roman"/>
          <w:spacing w:val="-2"/>
          <w:sz w:val="20"/>
          <w:szCs w:val="20"/>
          <w:lang w:val="en-ID"/>
        </w:rPr>
        <w:t>Pengaruh Return On Assets (ROA) terhadap Harga Saham (Y)</w:t>
      </w:r>
      <w:bookmarkEnd w:id="1"/>
    </w:p>
    <w:p w14:paraId="573584A6" w14:textId="4666053D" w:rsidR="00E23C3B" w:rsidRPr="00E23C3B" w:rsidRDefault="00E23C3B" w:rsidP="00E23C3B">
      <w:pPr>
        <w:widowControl w:val="0"/>
        <w:autoSpaceDE w:val="0"/>
        <w:spacing w:line="247" w:lineRule="auto"/>
        <w:ind w:right="-1" w:firstLine="567"/>
        <w:rPr>
          <w:spacing w:val="-2"/>
        </w:rPr>
      </w:pPr>
      <w:r w:rsidRPr="00E23C3B">
        <w:rPr>
          <w:spacing w:val="-2"/>
        </w:rPr>
        <w:t>Dalam analisis ini, dilakukan uji hipotesis untuk menguji pengaruh Return On Asset (ROA) terhadap harga saham. Berdasarkan hasil pengujian dengan menggunakan tabel yang diberikan, ditemukan bahwa nilai signifikansi dari variabel ROA adalah 0.000, yang lebih kecil dari tingkat signifikansi yang umumnya digunakan (0.05). Selain itu, nilai t hitung untuk ROA adalah 6.776, yang lebih besar dari nilai t tabel (2.034) pada tingkat signifikansi yang sama. Dengan demikian, dapat disimpulkan bahwa Return On Asset (ROA) memiliki pengaruh yang signifikan terhadap harga saham. Artinya, setiap perubahan yang terjadi pada ROA akan mempengaruhi pergerakan harga saham secara positif dan signifikan.</w:t>
      </w:r>
    </w:p>
    <w:p w14:paraId="1F9BC01E" w14:textId="3B2EC4DA" w:rsidR="002B3708" w:rsidRDefault="00E23C3B" w:rsidP="00E23C3B">
      <w:pPr>
        <w:widowControl w:val="0"/>
        <w:autoSpaceDE w:val="0"/>
        <w:spacing w:line="247" w:lineRule="auto"/>
        <w:ind w:right="-1" w:firstLine="567"/>
        <w:rPr>
          <w:spacing w:val="-2"/>
        </w:rPr>
      </w:pPr>
      <w:r w:rsidRPr="00E23C3B">
        <w:rPr>
          <w:spacing w:val="-2"/>
        </w:rPr>
        <w:t xml:space="preserve">Temuan ini didukung dengan penelitian Anwar (2021) menunjukkan bahwa return on asset (ROA) mempengaruhi harga saham, sedangkan studi Mufarikhah dan Amitha (2019) menemukan bahwa ROA tidak berpengaruh pada harga saham. Menurut penelitian Neni Nur’aeni dan Gusganda Suriar (2021) </w:t>
      </w:r>
      <w:r w:rsidRPr="00E23C3B">
        <w:rPr>
          <w:spacing w:val="-2"/>
        </w:rPr>
        <w:t>serta Nardi Sunardi (2019), ROA berpengaruh terhadap harga saham.</w:t>
      </w:r>
    </w:p>
    <w:p w14:paraId="6C40B92E" w14:textId="77777777" w:rsidR="002B3708" w:rsidRPr="002B3708" w:rsidRDefault="002B3708" w:rsidP="002B3708">
      <w:pPr>
        <w:widowControl w:val="0"/>
        <w:autoSpaceDE w:val="0"/>
        <w:spacing w:line="247" w:lineRule="auto"/>
        <w:ind w:right="-1"/>
        <w:rPr>
          <w:spacing w:val="-2"/>
        </w:rPr>
      </w:pPr>
    </w:p>
    <w:p w14:paraId="7FD0C901" w14:textId="09157ED5" w:rsidR="002B3708" w:rsidRPr="002B3708" w:rsidRDefault="002B3708" w:rsidP="002B3708">
      <w:pPr>
        <w:pStyle w:val="ListParagraph"/>
        <w:widowControl w:val="0"/>
        <w:numPr>
          <w:ilvl w:val="0"/>
          <w:numId w:val="10"/>
        </w:numPr>
        <w:autoSpaceDE w:val="0"/>
        <w:spacing w:after="0" w:line="247" w:lineRule="auto"/>
        <w:ind w:right="-1"/>
        <w:jc w:val="both"/>
        <w:rPr>
          <w:rFonts w:ascii="Times New Roman" w:hAnsi="Times New Roman"/>
          <w:spacing w:val="-2"/>
          <w:sz w:val="20"/>
          <w:szCs w:val="20"/>
        </w:rPr>
      </w:pPr>
      <w:bookmarkStart w:id="2" w:name="_Toc168749901"/>
      <w:r w:rsidRPr="002B3708">
        <w:rPr>
          <w:rFonts w:ascii="Times New Roman" w:hAnsi="Times New Roman"/>
          <w:spacing w:val="-2"/>
          <w:sz w:val="20"/>
          <w:szCs w:val="20"/>
          <w:lang w:val="en-ID"/>
        </w:rPr>
        <w:t>Pengaruh Net Profit Margin (NPM) Terhadap Harga Saham (Y)</w:t>
      </w:r>
      <w:bookmarkEnd w:id="2"/>
    </w:p>
    <w:p w14:paraId="6B66D724" w14:textId="614BC33C" w:rsidR="00E23C3B" w:rsidRPr="00E23C3B" w:rsidRDefault="00E23C3B" w:rsidP="00E23C3B">
      <w:pPr>
        <w:widowControl w:val="0"/>
        <w:autoSpaceDE w:val="0"/>
        <w:spacing w:line="247" w:lineRule="auto"/>
        <w:ind w:right="-1" w:firstLine="567"/>
        <w:rPr>
          <w:spacing w:val="-2"/>
        </w:rPr>
      </w:pPr>
      <w:r w:rsidRPr="00E23C3B">
        <w:rPr>
          <w:spacing w:val="-2"/>
        </w:rPr>
        <w:t>Uji hipotesis kedua dilakukan untuk mengetahui pengaruh Debt to Equity Ratio (DER) terhadap harga saham. Hasil analisis menunjukkan bahwa nilai signifikansi dari variabel DER adalah 0.000, yang juga lebih kecil dari tingkat signifikansi yang ditetapkan (0.05). Selain itu, nilai t hitung untuk DER adalah 10.074, yang jauh lebih besar dari nilai t tabel (2.034) pada tingkat signifikansi yang sama. Dengan demikian, dapat disimpulkan bahwa Debt to Equity Ratio (DER) juga memiliki pengaruh yang signifikan terhadap harga saham. Hal ini mengindikasikan bahwa perubahan yang terjadi pada DER akan berdampak secara positif dan signifikan terhadap pergerakan harga saham.</w:t>
      </w:r>
    </w:p>
    <w:p w14:paraId="63585DF6" w14:textId="77777777" w:rsidR="00E23C3B" w:rsidRPr="00E23C3B" w:rsidRDefault="00E23C3B" w:rsidP="00E23C3B">
      <w:pPr>
        <w:widowControl w:val="0"/>
        <w:autoSpaceDE w:val="0"/>
        <w:spacing w:line="247" w:lineRule="auto"/>
        <w:ind w:right="-1" w:firstLine="567"/>
        <w:rPr>
          <w:spacing w:val="-2"/>
        </w:rPr>
      </w:pPr>
      <w:r w:rsidRPr="00E23C3B">
        <w:rPr>
          <w:spacing w:val="-2"/>
        </w:rPr>
        <w:t xml:space="preserve">DER adalah indikator yang mengukur seberapa besar dana yang diberikan oleh kreditur dalam bentuk utang, yang mencakup total utang perusahaan baik yang jatuh tempo dalam waktu dekat maupun jangka panjang (Rambe et al., 2021). Pihak kreditur cenderung menginginkan rasio utang yang rendah karena semakin rendah rasio utang, semakin besar perlindungan yang diberikan kepada kreditur jika terjadi likuidasi. Kenaikan DER berpotensi menyebabkan penurunan harga saham, sementara penurunan DER dapat berdampak positif terhadap harga saham. </w:t>
      </w:r>
    </w:p>
    <w:p w14:paraId="60F648CD" w14:textId="046B1E1D" w:rsidR="00CF3A6F" w:rsidRDefault="00E23C3B" w:rsidP="00E23C3B">
      <w:pPr>
        <w:widowControl w:val="0"/>
        <w:autoSpaceDE w:val="0"/>
        <w:spacing w:line="247" w:lineRule="auto"/>
        <w:ind w:right="-1" w:firstLine="567"/>
      </w:pPr>
      <w:r w:rsidRPr="00E23C3B">
        <w:rPr>
          <w:spacing w:val="-2"/>
        </w:rPr>
        <w:t>Menurut teori, DER yang tinggi menandakan bahwa perusahaan memiliki utang yang signifikan dibandingkan dengan modalnya, meningkatkan risiko investasi di perusahaan tersebut dan membuat investor lebih waspada terhadap keamanan investasi (Anwar, 2021). Temuan ini didukung oleh hasil penelitian sebelumnya, seperti penelitian Sriwahyuni dan Saputra (2017), Handayani et al. (2018), Akbar dan Afiezan (2018), yang menunjukkan bahwa Debt to Equity Ratio memang memiliki pengaruh terhadap harga saham.</w:t>
      </w:r>
    </w:p>
    <w:p w14:paraId="6353DC1A" w14:textId="403440F5" w:rsidR="00EF1A6A" w:rsidRDefault="00EF1A6A" w:rsidP="00CF3A6F">
      <w:pPr>
        <w:widowControl w:val="0"/>
        <w:autoSpaceDE w:val="0"/>
        <w:spacing w:before="2" w:line="220" w:lineRule="exact"/>
      </w:pPr>
    </w:p>
    <w:p w14:paraId="232FC669" w14:textId="77777777" w:rsidR="00CF3A6F" w:rsidRDefault="00CF3A6F" w:rsidP="00CF3A6F">
      <w:pPr>
        <w:widowControl w:val="0"/>
        <w:autoSpaceDE w:val="0"/>
        <w:ind w:right="-1"/>
        <w:rPr>
          <w:b/>
          <w:bCs/>
          <w:w w:val="104"/>
          <w:lang w:val="fi-FI"/>
        </w:rPr>
      </w:pPr>
      <w:r>
        <w:rPr>
          <w:b/>
          <w:bCs/>
          <w:spacing w:val="1"/>
          <w:w w:val="104"/>
          <w:lang w:val="fi-FI"/>
        </w:rPr>
        <w:t>K</w:t>
      </w:r>
      <w:r>
        <w:rPr>
          <w:b/>
          <w:bCs/>
          <w:spacing w:val="-1"/>
          <w:w w:val="104"/>
          <w:lang w:val="fi-FI"/>
        </w:rPr>
        <w:t>E</w:t>
      </w:r>
      <w:r>
        <w:rPr>
          <w:b/>
          <w:bCs/>
          <w:spacing w:val="2"/>
          <w:w w:val="104"/>
          <w:lang w:val="fi-FI"/>
        </w:rPr>
        <w:t>S</w:t>
      </w:r>
      <w:r>
        <w:rPr>
          <w:b/>
          <w:bCs/>
          <w:spacing w:val="-1"/>
          <w:w w:val="104"/>
          <w:lang w:val="fi-FI"/>
        </w:rPr>
        <w:t>I</w:t>
      </w:r>
      <w:r>
        <w:rPr>
          <w:b/>
          <w:bCs/>
          <w:spacing w:val="1"/>
          <w:w w:val="104"/>
          <w:lang w:val="fi-FI"/>
        </w:rPr>
        <w:t>M</w:t>
      </w:r>
      <w:r>
        <w:rPr>
          <w:b/>
          <w:bCs/>
          <w:spacing w:val="-1"/>
          <w:w w:val="104"/>
          <w:lang w:val="fi-FI"/>
        </w:rPr>
        <w:t>P</w:t>
      </w:r>
      <w:r>
        <w:rPr>
          <w:b/>
          <w:bCs/>
          <w:spacing w:val="2"/>
          <w:w w:val="104"/>
          <w:lang w:val="fi-FI"/>
        </w:rPr>
        <w:t>U</w:t>
      </w:r>
      <w:r>
        <w:rPr>
          <w:b/>
          <w:bCs/>
          <w:spacing w:val="-1"/>
          <w:w w:val="104"/>
          <w:lang w:val="fi-FI"/>
        </w:rPr>
        <w:t>L</w:t>
      </w:r>
      <w:r>
        <w:rPr>
          <w:b/>
          <w:bCs/>
          <w:w w:val="104"/>
          <w:lang w:val="fi-FI"/>
        </w:rPr>
        <w:t>AN</w:t>
      </w:r>
    </w:p>
    <w:p w14:paraId="7ADB725F" w14:textId="77777777" w:rsidR="00747BE8" w:rsidRDefault="00747BE8" w:rsidP="00CF3A6F">
      <w:pPr>
        <w:widowControl w:val="0"/>
        <w:autoSpaceDE w:val="0"/>
        <w:spacing w:line="247" w:lineRule="auto"/>
        <w:ind w:right="-1"/>
        <w:rPr>
          <w:lang w:val="fi-FI"/>
        </w:rPr>
      </w:pPr>
    </w:p>
    <w:p w14:paraId="4FBFAA9C" w14:textId="0D99C4DD" w:rsidR="00CF3A6F" w:rsidRDefault="003416BB" w:rsidP="004D1741">
      <w:pPr>
        <w:widowControl w:val="0"/>
        <w:autoSpaceDE w:val="0"/>
        <w:spacing w:line="247" w:lineRule="auto"/>
        <w:ind w:right="-1" w:firstLine="567"/>
      </w:pPr>
      <w:r w:rsidRPr="003416BB">
        <w:t>Berdasarkan hasil analisis data dan</w:t>
      </w:r>
      <w:r>
        <w:t xml:space="preserve"> </w:t>
      </w:r>
      <w:r w:rsidRPr="003416BB">
        <w:t>pembahasan yang telah diuraikan sebelumnya</w:t>
      </w:r>
      <w:r>
        <w:t xml:space="preserve">. </w:t>
      </w:r>
      <w:r w:rsidRPr="003416BB">
        <w:t>Maka dapat disimpulkan beberapa hal sebagai berikut</w:t>
      </w:r>
      <w:r>
        <w:t>:</w:t>
      </w:r>
    </w:p>
    <w:p w14:paraId="41B449C2" w14:textId="41EBC946" w:rsidR="003416BB" w:rsidRPr="003416BB" w:rsidRDefault="00E23C3B" w:rsidP="003416BB">
      <w:pPr>
        <w:widowControl w:val="0"/>
        <w:numPr>
          <w:ilvl w:val="0"/>
          <w:numId w:val="3"/>
        </w:numPr>
        <w:autoSpaceDE w:val="0"/>
        <w:spacing w:line="247" w:lineRule="auto"/>
        <w:ind w:right="-1"/>
        <w:rPr>
          <w:w w:val="104"/>
          <w:lang w:val="en-ID"/>
        </w:rPr>
      </w:pPr>
      <w:r w:rsidRPr="00E23C3B">
        <w:rPr>
          <w:w w:val="104"/>
        </w:rPr>
        <w:t>Uji hipotesis menunjukkan bahwa Return On Asset (ROA) memiliki dampak yang signifikan terhadap harga saham. Nilai signifikansi sebesar 0.000, lebih kecil 0.05, serta nilai t hitung sebesar 6.776, yang lebih besar dari nilai t tabel 2.034, mendukung kesimpulan ini. Hal ini berarti bahwa setiap perubahan pada ROA akan berdampak positif dan signifikan terhadap pergerakan harga saham</w:t>
      </w:r>
    </w:p>
    <w:p w14:paraId="3C7E61A8" w14:textId="234BFC77" w:rsidR="003416BB" w:rsidRPr="003416BB" w:rsidRDefault="00E23C3B" w:rsidP="003416BB">
      <w:pPr>
        <w:widowControl w:val="0"/>
        <w:numPr>
          <w:ilvl w:val="0"/>
          <w:numId w:val="3"/>
        </w:numPr>
        <w:autoSpaceDE w:val="0"/>
        <w:spacing w:line="247" w:lineRule="auto"/>
        <w:ind w:right="-1"/>
        <w:rPr>
          <w:w w:val="104"/>
          <w:lang w:val="en-ID"/>
        </w:rPr>
      </w:pPr>
      <w:r w:rsidRPr="00E23C3B">
        <w:rPr>
          <w:w w:val="104"/>
        </w:rPr>
        <w:t xml:space="preserve">Hasil uji hipotesis kedua menunjukkan bahwa Debt to Equity Ratio (DER) juga memiliki pengaruh yang signifikan terhadap harga </w:t>
      </w:r>
      <w:r w:rsidRPr="00E23C3B">
        <w:rPr>
          <w:w w:val="104"/>
        </w:rPr>
        <w:lastRenderedPageBreak/>
        <w:t>saham, dengan nilai signifikansi sebesar 0.000 dan nilai t hitung sebesar 10.074, yang jauh lebih besar dari nilai t tabel 2.034. Ini mengindikasikan bahwa perubahan pada DER akan berdampak positif dan signifikan terhadap pergerakan harga saham. DER yang tinggi dapat mengindikasikan risiko yang lebih tinggi bagi investor, sementara DER yang rendah lebih disukai karena memberikan perlindungan lebih besar bagi kreditur dan dapat berdampak positif terhadap harga saham</w:t>
      </w:r>
      <w:r w:rsidR="003416BB" w:rsidRPr="003416BB">
        <w:rPr>
          <w:w w:val="104"/>
          <w:lang w:val="en-ID"/>
        </w:rPr>
        <w:t>.</w:t>
      </w:r>
    </w:p>
    <w:p w14:paraId="07010582" w14:textId="77777777" w:rsidR="00CF3A6F" w:rsidRPr="0061159A" w:rsidRDefault="00CF3A6F" w:rsidP="00CF3A6F">
      <w:pPr>
        <w:widowControl w:val="0"/>
        <w:autoSpaceDE w:val="0"/>
        <w:ind w:right="-1"/>
        <w:rPr>
          <w:bCs/>
          <w:spacing w:val="2"/>
          <w:w w:val="104"/>
          <w:lang w:val="fi-FI"/>
        </w:rPr>
      </w:pPr>
    </w:p>
    <w:p w14:paraId="4D3CEFBE" w14:textId="77777777" w:rsidR="00CF3A6F" w:rsidRDefault="00CF3A6F" w:rsidP="00CF3A6F">
      <w:pPr>
        <w:widowControl w:val="0"/>
        <w:autoSpaceDE w:val="0"/>
        <w:ind w:right="-1"/>
        <w:rPr>
          <w:b/>
          <w:bCs/>
          <w:w w:val="104"/>
          <w:lang w:val="fi-FI"/>
        </w:rPr>
      </w:pPr>
      <w:r>
        <w:rPr>
          <w:b/>
          <w:bCs/>
          <w:spacing w:val="2"/>
          <w:w w:val="104"/>
          <w:lang w:val="fi-FI"/>
        </w:rPr>
        <w:t>R</w:t>
      </w:r>
      <w:r>
        <w:rPr>
          <w:b/>
          <w:bCs/>
          <w:spacing w:val="1"/>
          <w:w w:val="104"/>
          <w:lang w:val="fi-FI"/>
        </w:rPr>
        <w:t>E</w:t>
      </w:r>
      <w:r>
        <w:rPr>
          <w:b/>
          <w:bCs/>
          <w:spacing w:val="-1"/>
          <w:w w:val="104"/>
          <w:lang w:val="fi-FI"/>
        </w:rPr>
        <w:t>F</w:t>
      </w:r>
      <w:r>
        <w:rPr>
          <w:b/>
          <w:bCs/>
          <w:spacing w:val="1"/>
          <w:w w:val="104"/>
          <w:lang w:val="fi-FI"/>
        </w:rPr>
        <w:t>E</w:t>
      </w:r>
      <w:r>
        <w:rPr>
          <w:b/>
          <w:bCs/>
          <w:w w:val="104"/>
          <w:lang w:val="fi-FI"/>
        </w:rPr>
        <w:t>RE</w:t>
      </w:r>
      <w:r>
        <w:rPr>
          <w:b/>
          <w:bCs/>
          <w:spacing w:val="2"/>
          <w:w w:val="104"/>
          <w:lang w:val="fi-FI"/>
        </w:rPr>
        <w:t>N</w:t>
      </w:r>
      <w:r>
        <w:rPr>
          <w:b/>
          <w:bCs/>
          <w:w w:val="104"/>
          <w:lang w:val="fi-FI"/>
        </w:rPr>
        <w:t>SI</w:t>
      </w:r>
    </w:p>
    <w:p w14:paraId="35C6299C" w14:textId="77777777" w:rsidR="00CE4358" w:rsidRDefault="00CE4358" w:rsidP="00CF3A6F">
      <w:pPr>
        <w:widowControl w:val="0"/>
        <w:autoSpaceDE w:val="0"/>
        <w:spacing w:before="19" w:line="200" w:lineRule="exact"/>
        <w:rPr>
          <w:lang w:val="fi-FI"/>
        </w:rPr>
      </w:pPr>
    </w:p>
    <w:p w14:paraId="23BFE92A" w14:textId="7B62B466" w:rsidR="00BD5881" w:rsidRPr="00BD5881" w:rsidRDefault="00DF6863" w:rsidP="00BD5881">
      <w:pPr>
        <w:widowControl w:val="0"/>
        <w:autoSpaceDE w:val="0"/>
        <w:autoSpaceDN w:val="0"/>
        <w:adjustRightInd w:val="0"/>
        <w:spacing w:before="20" w:line="240" w:lineRule="exact"/>
        <w:ind w:left="480" w:hanging="480"/>
        <w:rPr>
          <w:noProof/>
          <w:szCs w:val="24"/>
        </w:rPr>
      </w:pPr>
      <w:r>
        <w:rPr>
          <w:lang w:val="fi-FI"/>
        </w:rPr>
        <w:fldChar w:fldCharType="begin" w:fldLock="1"/>
      </w:r>
      <w:r>
        <w:rPr>
          <w:lang w:val="fi-FI"/>
        </w:rPr>
        <w:instrText xml:space="preserve">ADDIN Mendeley Bibliography CSL_BIBLIOGRAPHY </w:instrText>
      </w:r>
      <w:r>
        <w:rPr>
          <w:lang w:val="fi-FI"/>
        </w:rPr>
        <w:fldChar w:fldCharType="separate"/>
      </w:r>
      <w:r w:rsidR="00BD5881" w:rsidRPr="00BD5881">
        <w:rPr>
          <w:rFonts w:asciiTheme="minorHAnsi" w:eastAsiaTheme="minorHAnsi" w:hAnsiTheme="minorHAnsi" w:cstheme="minorBidi"/>
          <w:sz w:val="22"/>
          <w:szCs w:val="22"/>
        </w:rPr>
        <w:t xml:space="preserve"> </w:t>
      </w:r>
      <w:r w:rsidR="00BD5881" w:rsidRPr="00BD5881">
        <w:rPr>
          <w:noProof/>
          <w:szCs w:val="24"/>
        </w:rPr>
        <w:t xml:space="preserve">Almira, N. P. A. K., &amp; Wiagustini, N. L. P. (2020). Return on Asset, Return on Equity, Dan Earning Per Share Berpengaruh Terhadap Return Saham. E- Jurnal Manajemen Universitas Udayana, 9(3), 1069. </w:t>
      </w:r>
      <w:hyperlink r:id="rId15" w:history="1">
        <w:r w:rsidR="00BD5881" w:rsidRPr="00BD5881">
          <w:rPr>
            <w:rStyle w:val="Hyperlink"/>
            <w:noProof/>
            <w:szCs w:val="24"/>
          </w:rPr>
          <w:t>https://doi.org/10.24843/ejmunud.2020.v09.i03.p13</w:t>
        </w:r>
      </w:hyperlink>
    </w:p>
    <w:p w14:paraId="1460A802"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Anwar K, Soediatmiko. (2020). Pengaruh Current Ratio, Return On Asset dan</w:t>
      </w:r>
    </w:p>
    <w:p w14:paraId="5B1A0D99"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Anwar, A. M. (2021). Pengaruh Current Ratio, Debt To Equity, dan Return On Assets Terhadap Harga Saham (Studi kasus pada perusahaan sektor makanan dan minuman yang terdaftar di BEI tahun 2017-2019). Jurnal Ilmiah Mahasiswa Akuntansi, 1(2), 146– 157.</w:t>
      </w:r>
    </w:p>
    <w:p w14:paraId="11887B41"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Aryaningsih, Y. N., Fathoni, A., &amp; Harini, C. (2018). Pengaruh Return on Asset (ROA), Return on Equity (ROE) dan Earning per Share (EPS) terhadap Return Saham pada Perusahaan Consumer Good (Food and Beverages) yang Terdaftar di Bursa Efek Indonesia (BEI) Periode 2013-2016. Journal of Management, 4(4). </w:t>
      </w:r>
      <w:hyperlink r:id="rId16" w:history="1">
        <w:r w:rsidRPr="00BD5881">
          <w:rPr>
            <w:rStyle w:val="Hyperlink"/>
            <w:noProof/>
            <w:szCs w:val="24"/>
          </w:rPr>
          <w:t>https://doi.org/2502-7689</w:t>
        </w:r>
      </w:hyperlink>
    </w:p>
    <w:p w14:paraId="3BED29D5"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Estiasih S. P, Prihatiningsih E, Fatmawati Y. (2020). Dividend Payout Ratio, Earning Per Share, Debt To Equity Ratio Terhadap Harga Saham Pada Perusahaan L045. Jurnal Akuntansi dan Pajak, Vol 21 (1), 205-212.</w:t>
      </w:r>
    </w:p>
    <w:p w14:paraId="146A9338"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Eugene F. Brigham, Joel F. Houston ; penerjemah, Novietha Indra Sallama, F. K.</w:t>
      </w:r>
    </w:p>
    <w:p w14:paraId="579E7FB8"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Febrianti P. A, Nurhayati. (2019). Pengaruh DER, PDB Dan EPS Terhadap Harga Saham Perusahaan Asuransi Yang Terdaftar Di BEI. Media Ekonomi, Vol 27 (2), 163-170.</w:t>
      </w:r>
    </w:p>
    <w:p w14:paraId="76968E68"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Firmansyah, I., &amp; Maharani, A. (2021). Pengaruh Current Ratio (Cr) Dan Debt To Equity Ratio (Der) Terhadap Harga Saham Pada Perusahaan Sektor Infrastruktur, Utilitas, Dan Transportasi Yang Terdaftar Di’Bei. Land Journal, 2(1), 11–22. </w:t>
      </w:r>
      <w:hyperlink r:id="rId17" w:history="1">
        <w:r w:rsidRPr="00BD5881">
          <w:rPr>
            <w:rStyle w:val="Hyperlink"/>
            <w:noProof/>
            <w:szCs w:val="24"/>
          </w:rPr>
          <w:t>https://doi.org/10.47491/landjournal.v2i1.1033</w:t>
        </w:r>
      </w:hyperlink>
      <w:r w:rsidRPr="00BD5881">
        <w:rPr>
          <w:noProof/>
          <w:szCs w:val="24"/>
        </w:rPr>
        <w:t xml:space="preserve">. </w:t>
      </w:r>
    </w:p>
    <w:p w14:paraId="08E22073"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Ghozali, I. (2018). Aplikasi Analisis Multivariate </w:t>
      </w:r>
      <w:r w:rsidRPr="00BD5881">
        <w:rPr>
          <w:noProof/>
          <w:szCs w:val="24"/>
        </w:rPr>
        <w:t>Dengan Program IBM SPSS 25. In Badan Penebit Universtas Diponogoro (9 ed.). Semarang.</w:t>
      </w:r>
    </w:p>
    <w:p w14:paraId="66038835"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Hakim, M. Z., &amp; Abbas, D. S. (2019). Pengaruh Price Earning Ratio, Earning Per Share, Return On Equity, Debt To Equity Ratio dan Net Profit Margin Terhadap Return Saham. Competitive Jurnal Akuntansi Dan Keuangan, 3(1), 1–20.</w:t>
      </w:r>
    </w:p>
    <w:p w14:paraId="308D4E71"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Hanna, Y. &amp; Firnanti.,F. (2019). Faktor-Faktor yang memengaruhi Return Saham. Jurnal Bisnis dan Akuntansi Vol.21 No.1a-1 Nov 2019, Hlm. 27-38.</w:t>
      </w:r>
    </w:p>
    <w:p w14:paraId="38072230"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Hasanudin. (2022). Current Ration, Debt to Equity Ration, dan Return on Asset Terhadap return Saham., 4(1). </w:t>
      </w:r>
      <w:hyperlink r:id="rId18" w:history="1">
        <w:r w:rsidRPr="00BD5881">
          <w:rPr>
            <w:rStyle w:val="Hyperlink"/>
            <w:noProof/>
            <w:szCs w:val="24"/>
          </w:rPr>
          <w:t>https://www.who.int/news-room/fact-sheets/detail/autism-spectrum-disorders</w:t>
        </w:r>
      </w:hyperlink>
      <w:r w:rsidRPr="00BD5881">
        <w:rPr>
          <w:noProof/>
          <w:szCs w:val="24"/>
        </w:rPr>
        <w:t>.</w:t>
      </w:r>
    </w:p>
    <w:p w14:paraId="04B75CD0"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Hendaryan, D., &amp; Ramadhan, M. R. (2018). Pengaruh Return On Assets (ROA) dan Debt to Equity Ratio (DER) terhadap Harga Saham (Studi pada PT. Indosat Tbk. Tahun 2006-2015). Jurnal Akuntansi, Audit, dan Sistem Informasi Akuntansi (JASa), 2(1).</w:t>
      </w:r>
    </w:p>
    <w:p w14:paraId="09705515"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Indra Widjaja, I. T. S. dan. (2019). Pengaruh Earning Per Share, Debt To Equity Ratio, Price Earning Ratio, Return On Equity Terhadap Harga Saham Perusahaan Makanan Dan Minuman Di Bei Periode 2015-2017. Jurnal Manajemen Bisnis Dan Kewirausahaan, 3(2 SE-Articles). </w:t>
      </w:r>
      <w:hyperlink r:id="rId19" w:history="1">
        <w:r w:rsidRPr="00BD5881">
          <w:rPr>
            <w:rStyle w:val="Hyperlink"/>
            <w:noProof/>
            <w:szCs w:val="24"/>
          </w:rPr>
          <w:t>https://doi.org/10.24912/jmbk.v3i2.4956</w:t>
        </w:r>
      </w:hyperlink>
    </w:p>
    <w:p w14:paraId="357CBEFA"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Inflasi Terhadap Harga Saham. Jural Ekonomi dan Bisnis, Vol 13 (1), 221-240.</w:t>
      </w:r>
    </w:p>
    <w:p w14:paraId="0DB74714"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Janah, A. M., Tuzzahroh, F., &amp; Amaroh, S. (2023). PENGARUH ROA, ROE, NPM DAN EPS TERHADAP HARGA SAHAM PADA PERUSAHAAN TRANSPORTASI YANG TERDAFTAR DI BEI TAHUN 2019- 2022. JEM: Jurnal Ekonomi Dan Manajemen STIE Pertiba Pangkalpinang, 9(1), 1–12. </w:t>
      </w:r>
      <w:hyperlink r:id="rId20" w:history="1">
        <w:r w:rsidRPr="00BD5881">
          <w:rPr>
            <w:rStyle w:val="Hyperlink"/>
            <w:noProof/>
            <w:szCs w:val="24"/>
          </w:rPr>
          <w:t>https://www.sahamgain.com/2020/11/perusahaan- transportasi-yang-terdaftar.html</w:t>
        </w:r>
      </w:hyperlink>
      <w:r w:rsidRPr="00BD5881">
        <w:rPr>
          <w:noProof/>
          <w:szCs w:val="24"/>
        </w:rPr>
        <w:t>.</w:t>
      </w:r>
    </w:p>
    <w:p w14:paraId="4B2E7DF7"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Jogiyanto. (2017). Konsep Dasar Sistem Informasi. Grafiti Medika Press.</w:t>
      </w:r>
    </w:p>
    <w:p w14:paraId="51A3534E"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Kasmir. (2018). Analisis laporan keuangan. Depok : Rajawali Pers, 2018.</w:t>
      </w:r>
    </w:p>
    <w:p w14:paraId="01BFCABB"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Moorcy, N. hernadi. (2018). Faktor-Faktor Yang Mempengaruhi Harga Saham Perusahaan Food &amp; Beverages Yang Terdaftar Di Bursa Efek Indonesia. Jurnal GeoEkonomi, 9(1), 18–31. </w:t>
      </w:r>
      <w:hyperlink r:id="rId21" w:history="1">
        <w:r w:rsidRPr="00BD5881">
          <w:rPr>
            <w:rStyle w:val="Hyperlink"/>
            <w:noProof/>
            <w:szCs w:val="24"/>
          </w:rPr>
          <w:t>https://doi.org/10.36277/geoekonomi.v9i1.17</w:t>
        </w:r>
      </w:hyperlink>
      <w:r w:rsidRPr="00BD5881">
        <w:rPr>
          <w:noProof/>
          <w:szCs w:val="24"/>
        </w:rPr>
        <w:t>.</w:t>
      </w:r>
    </w:p>
    <w:p w14:paraId="35D110EC"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Mufarikhah, D., &amp; Armitha, S. T. D. (2021). Pengaruh ROA dan DER Terhadap Harga Saham pada Perusahaan Manufaktur di BEI. Jurnal Ekonomi dan Bisnis Islam, 3(1), 9-16.</w:t>
      </w:r>
    </w:p>
    <w:p w14:paraId="3082EEED"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Mufarikhah, D., &amp; Dinda Amitha, S. T. (2019). PENGARUH ROA DAN DER TERHADAP HARGA SAHAM PADA PERUSAHAAN </w:t>
      </w:r>
      <w:r w:rsidRPr="00BD5881">
        <w:rPr>
          <w:noProof/>
          <w:szCs w:val="24"/>
        </w:rPr>
        <w:lastRenderedPageBreak/>
        <w:t xml:space="preserve">MANUFAKTUR DI BEI Dewi. Jurnal Ilmu Dan Riset Manajemen, 8(3), 1–15. </w:t>
      </w:r>
      <w:hyperlink r:id="rId22" w:history="1">
        <w:r w:rsidRPr="00BD5881">
          <w:rPr>
            <w:rStyle w:val="Hyperlink"/>
            <w:noProof/>
            <w:szCs w:val="24"/>
          </w:rPr>
          <w:t>http://jurnalmahasiswa.stiesia.ac.id/index.php/jirm/article/view/359/367</w:t>
        </w:r>
      </w:hyperlink>
      <w:r w:rsidRPr="00BD5881">
        <w:rPr>
          <w:noProof/>
          <w:szCs w:val="24"/>
        </w:rPr>
        <w:t>.</w:t>
      </w:r>
    </w:p>
    <w:p w14:paraId="2A14C5A1"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Nurlia, N., &amp; Juwari, J. (2019). Pengaruh Return on Asset, Return on Equity, Earning Per Share Dan Current Ratio Terhadap Harga Saham Pada Perusahaan Sub Sektor Otomotif Dan Komponen Yang Terdaftar Di Bursa Efek Indonesia. Jurnal GeoEkonomi, 10(1), 57–73. </w:t>
      </w:r>
      <w:hyperlink r:id="rId23" w:history="1">
        <w:r w:rsidRPr="00BD5881">
          <w:rPr>
            <w:rStyle w:val="Hyperlink"/>
            <w:noProof/>
            <w:szCs w:val="24"/>
          </w:rPr>
          <w:t>https://doi.org/10.36277/geoekonomi.v10i1.50</w:t>
        </w:r>
      </w:hyperlink>
      <w:r w:rsidRPr="00BD5881">
        <w:rPr>
          <w:noProof/>
          <w:szCs w:val="24"/>
        </w:rPr>
        <w:t>.</w:t>
      </w:r>
    </w:p>
    <w:p w14:paraId="79EE688F"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Nuzul, I. (2016). Analisis ROA dan ROE terhadap Profitabilitas Bank. Jurnal Lembaga Keuangan dan Perbankan, Vol 1, No 2 – 2016.</w:t>
      </w:r>
    </w:p>
    <w:p w14:paraId="4A2E2332"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Oktianto, B.A. (2017). Pengaruh Kinerja Keuangan Terhadap Harga Saham Pada Perusahaan Industri Makanan Dan Minuman Di Bursa Efek Indonesia: Jurnal Ilmu Manajemen .Vol. 6 (2), 151- 163.</w:t>
      </w:r>
    </w:p>
    <w:p w14:paraId="670908B5"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Pane J. K. B, Meliyani, Br Pandia D. T, Sihombing S. W, Herosian M. Y. (2021).</w:t>
      </w:r>
    </w:p>
    <w:p w14:paraId="609FF5E6"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Pengaruh DAR, ROA, CR Terhadap Harga Saham Di Perusahaan Sektor Industri Barang Konsumsi Yang Terdaftar Di BEI Periode 2015-2019. Jurnal Ekonomi, Bisnis dan Manajemen, Vol 8 (2), 35-45.</w:t>
      </w:r>
    </w:p>
    <w:p w14:paraId="73A952D7"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Permatasari N. D, Nurlaela S, Titisari K. H. (2019). Return On Assets, Return On Equity, Earning Per Share Terhadap Harga Saham Perusahaan Sektor Jasa Di Bursa Efek Indonesia. Skripsi, Fakultas Ekonomi Universitas Islam Batik Surakarta.</w:t>
      </w:r>
    </w:p>
    <w:p w14:paraId="41DBFD96"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Simanjuntak, A. (2018). Analisis Faktor-Faktor yang memengaruhi Return Saham Perusahaan Manufaktur yang terdaftar di Bursa Efek </w:t>
      </w:r>
      <w:r w:rsidRPr="00BD5881">
        <w:rPr>
          <w:noProof/>
          <w:szCs w:val="24"/>
        </w:rPr>
        <w:t>Indonesia periode 2012-2016. Jurnal Ilmiah Methonomi. Volume 4 Nomor 1 (2018).</w:t>
      </w:r>
    </w:p>
    <w:p w14:paraId="2F9C4A85"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Sinaga, S. R., Brahmana, L. B., Sinaga, L. D., Silaban, I. J. H., Siallagan, H., &amp; Sipayung, R. C. (2023). Pengaruh ROA, ROE, dan DER Terhadap Harga Saham Perusahaan LQ45 di BEI. Jurnal Ilmiah Bisnis &amp; Kewirausahaan, 12(3).</w:t>
      </w:r>
    </w:p>
    <w:p w14:paraId="19E3A0CB"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Tandelilin, E. (2017). Analisis Investasi dan Manajemen Portofolio. In Yogyakarta: BPFE-Yogyakarta (Vol. 1).</w:t>
      </w:r>
    </w:p>
    <w:p w14:paraId="4C9C425E"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 xml:space="preserve">Utami, M. R., &amp; Darmawan, A. (2018). Pengaruh Der, Roa, Roe, Eps Dan Mva Terhadap Harga Saham Pada Indeks Saham Syariah Indonesia. Journal of Applied Managerial Accounting, 2(2), 206–218. </w:t>
      </w:r>
      <w:hyperlink r:id="rId24" w:history="1">
        <w:r w:rsidRPr="00BD5881">
          <w:rPr>
            <w:rStyle w:val="Hyperlink"/>
            <w:noProof/>
            <w:szCs w:val="24"/>
          </w:rPr>
          <w:t>https://doi.org/10.30871/jama.v2i2.910</w:t>
        </w:r>
      </w:hyperlink>
      <w:r w:rsidRPr="00BD5881">
        <w:rPr>
          <w:noProof/>
          <w:szCs w:val="24"/>
        </w:rPr>
        <w:t>.</w:t>
      </w:r>
    </w:p>
    <w:p w14:paraId="21AAF9F3"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Veny, M., &amp; Destriana, N. (2019). Faktor-Faktor Yang Memengaruhi Return Saham Pada Perusahaan Non Keuangan. Jurnal Bisnis dan Akuntansi Vol.21, Hal: 39-48.</w:t>
      </w:r>
    </w:p>
    <w:p w14:paraId="3743A509" w14:textId="77777777" w:rsidR="00BD5881" w:rsidRPr="00BD5881" w:rsidRDefault="00BD5881" w:rsidP="00BD5881">
      <w:pPr>
        <w:widowControl w:val="0"/>
        <w:autoSpaceDE w:val="0"/>
        <w:autoSpaceDN w:val="0"/>
        <w:adjustRightInd w:val="0"/>
        <w:spacing w:before="20" w:line="240" w:lineRule="exact"/>
        <w:ind w:left="480" w:hanging="480"/>
        <w:rPr>
          <w:noProof/>
          <w:szCs w:val="24"/>
        </w:rPr>
      </w:pPr>
      <w:r w:rsidRPr="00BD5881">
        <w:rPr>
          <w:noProof/>
          <w:szCs w:val="24"/>
        </w:rPr>
        <w:t>Wahyuni, S. F., &amp; Hafiz, M. S. (2018). Pengaruh CR, DER dan ROA terhadap DPR pada perusahaan manufaktur di BEI. Jesya (Jurnal Ekonomi dan Ekonomi Syariah), 1(2), 25–42.</w:t>
      </w:r>
    </w:p>
    <w:p w14:paraId="391F283B" w14:textId="77777777" w:rsidR="00BD5881" w:rsidRPr="00BD5881" w:rsidRDefault="00BD5881" w:rsidP="00BD5881">
      <w:pPr>
        <w:widowControl w:val="0"/>
        <w:autoSpaceDE w:val="0"/>
        <w:autoSpaceDN w:val="0"/>
        <w:adjustRightInd w:val="0"/>
        <w:spacing w:before="20" w:line="240" w:lineRule="exact"/>
        <w:ind w:left="480" w:hanging="480"/>
        <w:rPr>
          <w:noProof/>
          <w:szCs w:val="24"/>
          <w:lang w:val="en-ID"/>
        </w:rPr>
      </w:pPr>
      <w:r w:rsidRPr="00BD5881">
        <w:rPr>
          <w:noProof/>
          <w:szCs w:val="24"/>
        </w:rPr>
        <w:t>Yuniar, V., Amalya, W. R., &amp; Sidarta, A. L. (2024). Pengaruh Current Ratio, Return on Asset dan Total Asset Turnover terhadap Harga Saham pada Perusahaan Transpotasi dan Logistik yang Terdaftar di Bursa Efek Indonesia Periode Tahun 2019-2022. Jurnal Ilmiah Akuntansi dan Humanika, 14 (1), 135–144.</w:t>
      </w:r>
    </w:p>
    <w:p w14:paraId="086370D4" w14:textId="7B5730BA" w:rsidR="00AF5F53" w:rsidRPr="00AF5F53" w:rsidRDefault="00AF5F53" w:rsidP="00BD5881">
      <w:pPr>
        <w:widowControl w:val="0"/>
        <w:autoSpaceDE w:val="0"/>
        <w:autoSpaceDN w:val="0"/>
        <w:adjustRightInd w:val="0"/>
        <w:spacing w:before="20" w:line="240" w:lineRule="exact"/>
        <w:ind w:left="480" w:hanging="480"/>
        <w:rPr>
          <w:noProof/>
        </w:rPr>
      </w:pPr>
    </w:p>
    <w:p w14:paraId="69EC1FA6" w14:textId="77777777" w:rsidR="00054A54" w:rsidRDefault="00DF6863" w:rsidP="00054A54">
      <w:pPr>
        <w:widowControl w:val="0"/>
        <w:autoSpaceDE w:val="0"/>
        <w:spacing w:before="19" w:line="200" w:lineRule="exact"/>
        <w:ind w:left="426" w:hanging="426"/>
        <w:rPr>
          <w:lang w:val="fi-FI"/>
        </w:rPr>
      </w:pPr>
      <w:r>
        <w:rPr>
          <w:lang w:val="fi-FI"/>
        </w:rPr>
        <w:fldChar w:fldCharType="end"/>
      </w:r>
    </w:p>
    <w:p w14:paraId="22870AB5" w14:textId="77777777" w:rsidR="002A2510" w:rsidRDefault="002A2510" w:rsidP="00054A54">
      <w:pPr>
        <w:widowControl w:val="0"/>
        <w:autoSpaceDE w:val="0"/>
        <w:spacing w:before="19" w:line="200" w:lineRule="exact"/>
        <w:ind w:left="426" w:hanging="426"/>
        <w:rPr>
          <w:lang w:val="fi-FI"/>
        </w:rPr>
      </w:pPr>
    </w:p>
    <w:p w14:paraId="31B28EB5" w14:textId="77777777" w:rsidR="002A2510" w:rsidRDefault="002A2510" w:rsidP="00054A54">
      <w:pPr>
        <w:widowControl w:val="0"/>
        <w:autoSpaceDE w:val="0"/>
        <w:spacing w:before="19" w:line="200" w:lineRule="exact"/>
        <w:ind w:left="426" w:hanging="426"/>
        <w:rPr>
          <w:lang w:val="fi-FI"/>
        </w:rPr>
      </w:pPr>
    </w:p>
    <w:p w14:paraId="2A197E23" w14:textId="77777777" w:rsidR="00C20F2B" w:rsidRDefault="00C20F2B" w:rsidP="00CF3A6F"/>
    <w:p w14:paraId="2F08CA06" w14:textId="77777777" w:rsidR="00CF3A6F" w:rsidRDefault="00CF3A6F" w:rsidP="00CF3A6F">
      <w:pPr>
        <w:sectPr w:rsidR="00CF3A6F" w:rsidSect="00225CB1">
          <w:footnotePr>
            <w:numRestart w:val="eachPage"/>
          </w:footnotePr>
          <w:type w:val="continuous"/>
          <w:pgSz w:w="11907" w:h="16839" w:code="9"/>
          <w:pgMar w:top="1701" w:right="1134" w:bottom="1134" w:left="1701" w:header="720" w:footer="720" w:gutter="0"/>
          <w:cols w:num="2" w:space="567"/>
          <w:docGrid w:linePitch="272"/>
        </w:sectPr>
      </w:pPr>
    </w:p>
    <w:p w14:paraId="7F3B22B1" w14:textId="77777777" w:rsidR="00CF3A6F" w:rsidRDefault="00CF3A6F" w:rsidP="00CF3A6F"/>
    <w:p w14:paraId="1AAECA54" w14:textId="77777777" w:rsidR="00A07AC6" w:rsidRDefault="00A07AC6"/>
    <w:sectPr w:rsidR="00A07AC6" w:rsidSect="00225CB1">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2F6C8" w14:textId="77777777" w:rsidR="00F04000" w:rsidRDefault="00F04000" w:rsidP="00CF3A6F">
      <w:r>
        <w:separator/>
      </w:r>
    </w:p>
  </w:endnote>
  <w:endnote w:type="continuationSeparator" w:id="0">
    <w:p w14:paraId="33C381D9" w14:textId="77777777" w:rsidR="00F04000" w:rsidRDefault="00F04000"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1DF8" w14:textId="77777777" w:rsidR="00000000" w:rsidRDefault="00000000">
    <w:pPr>
      <w:framePr w:wrap="around" w:vAnchor="text" w:hAnchor="margin" w:xAlign="right" w:y="1"/>
    </w:pPr>
  </w:p>
  <w:p w14:paraId="256657BC" w14:textId="77777777" w:rsidR="00000000" w:rsidRPr="00B33493" w:rsidRDefault="00F84753" w:rsidP="00B33493">
    <w:pPr>
      <w:pStyle w:val="Footer"/>
      <w:pBdr>
        <w:top w:val="single" w:sz="4" w:space="1" w:color="auto"/>
      </w:pBdr>
      <w:tabs>
        <w:tab w:val="clear" w:pos="4680"/>
        <w:tab w:val="clear" w:pos="9360"/>
        <w:tab w:val="right" w:pos="9072"/>
      </w:tabs>
      <w:rPr>
        <w:lang w:val="id-ID"/>
      </w:rPr>
    </w:pPr>
    <w:r w:rsidRPr="000B5046">
      <w:fldChar w:fldCharType="begin"/>
    </w:r>
    <w:r w:rsidRPr="000B5046">
      <w:instrText xml:space="preserve"> PAGE   \* MERGEFORMAT </w:instrText>
    </w:r>
    <w:r w:rsidRPr="000B5046">
      <w:fldChar w:fldCharType="separate"/>
    </w:r>
    <w:r w:rsidR="00A42075">
      <w:rPr>
        <w:noProof/>
      </w:rPr>
      <w:t>2</w:t>
    </w:r>
    <w:r w:rsidRPr="000B5046">
      <w:fldChar w:fldCharType="end"/>
    </w:r>
    <w:r w:rsidR="00841AE5">
      <w:t xml:space="preserve"> </w:t>
    </w:r>
    <w:r>
      <w:tab/>
    </w:r>
    <w:r w:rsidR="00A12583">
      <w:t>Judul Artikel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F927" w14:textId="77777777" w:rsidR="00000000" w:rsidRPr="00C77C9E" w:rsidRDefault="0007445D" w:rsidP="00C77C9E">
    <w:pPr>
      <w:pStyle w:val="Footer"/>
      <w:pBdr>
        <w:top w:val="single" w:sz="4" w:space="1" w:color="auto"/>
      </w:pBdr>
      <w:tabs>
        <w:tab w:val="clear" w:pos="4680"/>
        <w:tab w:val="clear" w:pos="9360"/>
        <w:tab w:val="left" w:pos="0"/>
        <w:tab w:val="right" w:pos="9072"/>
      </w:tabs>
      <w:jc w:val="right"/>
      <w:rPr>
        <w:sz w:val="18"/>
      </w:rPr>
    </w:pPr>
    <w:r w:rsidRPr="0007445D">
      <w:t>http://ejournal.bsi.ac.id/ej</w:t>
    </w:r>
    <w:r>
      <w:t>urnal/index.php/perspektif</w:t>
    </w:r>
    <w:r w:rsidR="00C77C9E">
      <w:rPr>
        <w:szCs w:val="24"/>
      </w:rPr>
      <w:tab/>
    </w:r>
    <w:r w:rsidR="00C77C9E" w:rsidRPr="00CB7465">
      <w:rPr>
        <w:szCs w:val="24"/>
      </w:rPr>
      <w:fldChar w:fldCharType="begin"/>
    </w:r>
    <w:r w:rsidR="00C77C9E" w:rsidRPr="00CB7465">
      <w:rPr>
        <w:szCs w:val="24"/>
      </w:rPr>
      <w:instrText xml:space="preserve"> PAGE   \* MERGEFORMAT </w:instrText>
    </w:r>
    <w:r w:rsidR="00C77C9E" w:rsidRPr="00CB7465">
      <w:rPr>
        <w:szCs w:val="24"/>
      </w:rPr>
      <w:fldChar w:fldCharType="separate"/>
    </w:r>
    <w:r w:rsidR="007571C7">
      <w:rPr>
        <w:noProof/>
        <w:szCs w:val="24"/>
      </w:rPr>
      <w:t>3</w:t>
    </w:r>
    <w:r w:rsidR="00C77C9E" w:rsidRPr="00CB7465">
      <w:rPr>
        <w:szCs w:val="24"/>
      </w:rPr>
      <w:fldChar w:fldCharType="end"/>
    </w:r>
    <w:r w:rsidR="00C77C9E" w:rsidRPr="00CB7465">
      <w:rPr>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3D98" w14:textId="77777777" w:rsidR="00000000" w:rsidRPr="00CB7465" w:rsidRDefault="0007445D" w:rsidP="002A2510">
    <w:pPr>
      <w:pStyle w:val="Footer"/>
      <w:pBdr>
        <w:top w:val="single" w:sz="4" w:space="1" w:color="auto"/>
      </w:pBdr>
      <w:tabs>
        <w:tab w:val="clear" w:pos="4680"/>
        <w:tab w:val="clear" w:pos="9360"/>
        <w:tab w:val="left" w:pos="0"/>
        <w:tab w:val="right" w:pos="9072"/>
      </w:tabs>
      <w:jc w:val="right"/>
      <w:rPr>
        <w:sz w:val="18"/>
      </w:rPr>
    </w:pPr>
    <w:r w:rsidRPr="0007445D">
      <w:t>http://ejournal.bsi.ac.id/ej</w:t>
    </w:r>
    <w:r>
      <w:t>urnal/index.php/perspektif</w:t>
    </w:r>
    <w:r w:rsidR="002A2510">
      <w:rPr>
        <w:szCs w:val="24"/>
      </w:rPr>
      <w:tab/>
    </w:r>
    <w:r w:rsidR="00F84753" w:rsidRPr="00CB7465">
      <w:rPr>
        <w:szCs w:val="24"/>
      </w:rPr>
      <w:fldChar w:fldCharType="begin"/>
    </w:r>
    <w:r w:rsidR="00F84753" w:rsidRPr="00CB7465">
      <w:rPr>
        <w:szCs w:val="24"/>
      </w:rPr>
      <w:instrText xml:space="preserve"> PAGE   \* MERGEFORMAT </w:instrText>
    </w:r>
    <w:r w:rsidR="00F84753" w:rsidRPr="00CB7465">
      <w:rPr>
        <w:szCs w:val="24"/>
      </w:rPr>
      <w:fldChar w:fldCharType="separate"/>
    </w:r>
    <w:r w:rsidR="007571C7">
      <w:rPr>
        <w:noProof/>
        <w:szCs w:val="24"/>
      </w:rPr>
      <w:t>1</w:t>
    </w:r>
    <w:r w:rsidR="00F84753" w:rsidRPr="00CB7465">
      <w:rPr>
        <w:szCs w:val="24"/>
      </w:rPr>
      <w:fldChar w:fldCharType="end"/>
    </w:r>
    <w:r w:rsidR="00841AE5" w:rsidRPr="00CB7465">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6045C" w14:textId="77777777" w:rsidR="00F04000" w:rsidRDefault="00F04000" w:rsidP="00CF3A6F">
      <w:r>
        <w:separator/>
      </w:r>
    </w:p>
  </w:footnote>
  <w:footnote w:type="continuationSeparator" w:id="0">
    <w:p w14:paraId="0F1254F6" w14:textId="77777777" w:rsidR="00F04000" w:rsidRDefault="00F04000" w:rsidP="00CF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1C3E" w14:textId="77777777" w:rsidR="00B27765" w:rsidRPr="00697D1B" w:rsidRDefault="00B27765" w:rsidP="00B27765">
    <w:pPr>
      <w:jc w:val="left"/>
      <w:rPr>
        <w:color w:val="000000" w:themeColor="text1"/>
      </w:rPr>
    </w:pPr>
    <w:r>
      <w:rPr>
        <w:color w:val="000000" w:themeColor="text1"/>
      </w:rPr>
      <w:t>Widya Cipta, Volume 3 No. 2 September 2019</w:t>
    </w:r>
  </w:p>
  <w:p w14:paraId="6E00389C" w14:textId="77777777" w:rsidR="00A12583" w:rsidRPr="00B27765" w:rsidRDefault="00B27765" w:rsidP="00B27765">
    <w:pPr>
      <w:pBdr>
        <w:bottom w:val="single" w:sz="4" w:space="1" w:color="auto"/>
      </w:pBdr>
      <w:jc w:val="lef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2550-0805  E-ISSN 2550-0791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2FA1" w14:textId="77777777" w:rsidR="00B27765" w:rsidRPr="00697D1B" w:rsidRDefault="009B3786" w:rsidP="00B27765">
    <w:pPr>
      <w:jc w:val="right"/>
      <w:rPr>
        <w:color w:val="000000" w:themeColor="text1"/>
      </w:rPr>
    </w:pPr>
    <w:r>
      <w:rPr>
        <w:color w:val="000000" w:themeColor="text1"/>
      </w:rPr>
      <w:t>Perspektif: Jurnal Ekonomi &amp; Manajemen</w:t>
    </w:r>
    <w:r w:rsidR="00B27765">
      <w:rPr>
        <w:color w:val="000000" w:themeColor="text1"/>
      </w:rPr>
      <w:t xml:space="preserve">, Volume </w:t>
    </w:r>
    <w:r>
      <w:rPr>
        <w:color w:val="000000" w:themeColor="text1"/>
      </w:rPr>
      <w:t>18</w:t>
    </w:r>
    <w:r w:rsidR="00B27765">
      <w:rPr>
        <w:color w:val="000000" w:themeColor="text1"/>
      </w:rPr>
      <w:t xml:space="preserve"> No. </w:t>
    </w:r>
    <w:r>
      <w:rPr>
        <w:color w:val="000000" w:themeColor="text1"/>
      </w:rPr>
      <w:t>1 Maret 2020</w:t>
    </w:r>
  </w:p>
  <w:p w14:paraId="3E220503" w14:textId="77777777" w:rsidR="00A12583" w:rsidRPr="00B27765" w:rsidRDefault="00B27765" w:rsidP="00B27765">
    <w:pPr>
      <w:pBdr>
        <w:bottom w:val="single" w:sz="4" w:space="1" w:color="auto"/>
      </w:pBdr>
      <w:jc w:val="right"/>
      <w:rPr>
        <w:color w:val="000000" w:themeColor="text1"/>
        <w:shd w:val="clear" w:color="auto" w:fill="FFFFFF"/>
      </w:rPr>
    </w:pPr>
    <w:r w:rsidRPr="00697D1B">
      <w:rPr>
        <w:color w:val="000000" w:themeColor="text1"/>
      </w:rPr>
      <w:t xml:space="preserve">P-ISSN </w:t>
    </w:r>
    <w:r w:rsidR="009B3786">
      <w:rPr>
        <w:color w:val="000000" w:themeColor="text1"/>
      </w:rPr>
      <w:t>1411-8637</w:t>
    </w:r>
    <w:r w:rsidRPr="00697D1B">
      <w:rPr>
        <w:color w:val="000000" w:themeColor="text1"/>
        <w:shd w:val="clear" w:color="auto" w:fill="FFFFFF"/>
      </w:rPr>
      <w:t xml:space="preserve">  E-ISSN 2550-</w:t>
    </w:r>
    <w:r w:rsidR="009B3786">
      <w:rPr>
        <w:color w:val="000000" w:themeColor="text1"/>
        <w:shd w:val="clear" w:color="auto" w:fill="FFFFFF"/>
      </w:rPr>
      <w:t>1178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62B1" w14:textId="211BC71A" w:rsidR="00A42075" w:rsidRPr="009879D4" w:rsidRDefault="00281EE3" w:rsidP="00A42075">
    <w:pPr>
      <w:jc w:val="left"/>
      <w:rPr>
        <w:b/>
        <w:color w:val="000000" w:themeColor="text1"/>
      </w:rPr>
    </w:pPr>
    <w:r w:rsidRPr="007571C7">
      <w:rPr>
        <w:b/>
        <w:color w:val="000000" w:themeColor="text1"/>
      </w:rPr>
      <w:t>Perspektif</w:t>
    </w:r>
    <w:r w:rsidR="00A42075" w:rsidRPr="007571C7">
      <w:rPr>
        <w:b/>
        <w:color w:val="000000" w:themeColor="text1"/>
      </w:rPr>
      <w:t xml:space="preserve">: Jurnal </w:t>
    </w:r>
    <w:r w:rsidRPr="007571C7">
      <w:rPr>
        <w:b/>
        <w:color w:val="000000" w:themeColor="text1"/>
      </w:rPr>
      <w:t>Ekonomi &amp; Manajemen Universitas Bina Sarana Informatika</w:t>
    </w:r>
  </w:p>
  <w:p w14:paraId="75F70DEB" w14:textId="77777777" w:rsidR="00A42075" w:rsidRPr="007571C7" w:rsidRDefault="00A42075" w:rsidP="00A42075">
    <w:pPr>
      <w:jc w:val="left"/>
      <w:rPr>
        <w:color w:val="000000" w:themeColor="text1"/>
        <w:shd w:val="clear" w:color="auto" w:fill="FFFFFF"/>
      </w:rPr>
    </w:pPr>
    <w:r w:rsidRPr="007571C7">
      <w:rPr>
        <w:color w:val="000000" w:themeColor="text1"/>
      </w:rPr>
      <w:t xml:space="preserve">P-ISSN </w:t>
    </w:r>
    <w:r w:rsidR="0007445D" w:rsidRPr="007571C7">
      <w:rPr>
        <w:color w:val="000000" w:themeColor="text1"/>
      </w:rPr>
      <w:t>1411-8637</w:t>
    </w:r>
    <w:r w:rsidRPr="007571C7">
      <w:rPr>
        <w:color w:val="000000" w:themeColor="text1"/>
        <w:shd w:val="clear" w:color="auto" w:fill="FFFFFF"/>
      </w:rPr>
      <w:t xml:space="preserve">  E-ISSN </w:t>
    </w:r>
    <w:r w:rsidR="0007445D" w:rsidRPr="007571C7">
      <w:rPr>
        <w:color w:val="000000" w:themeColor="text1"/>
        <w:shd w:val="clear" w:color="auto" w:fill="FFFFFF"/>
      </w:rPr>
      <w:t>2550-1178</w:t>
    </w:r>
  </w:p>
  <w:p w14:paraId="21DDE6AF" w14:textId="331781BE" w:rsidR="00000000" w:rsidRPr="00C77C9E" w:rsidRDefault="009879D4" w:rsidP="00A37974">
    <w:pPr>
      <w:pBdr>
        <w:bottom w:val="single" w:sz="4" w:space="1" w:color="auto"/>
      </w:pBdr>
      <w:jc w:val="left"/>
      <w:rPr>
        <w:color w:val="000000" w:themeColor="text1"/>
        <w:shd w:val="clear" w:color="auto" w:fill="FFFFFF"/>
      </w:rPr>
    </w:pPr>
    <w:r w:rsidRPr="00C77C9E">
      <w:rPr>
        <w:color w:val="000000" w:themeColor="text1"/>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23EA"/>
    <w:multiLevelType w:val="hybridMultilevel"/>
    <w:tmpl w:val="96EA2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F80025"/>
    <w:multiLevelType w:val="hybridMultilevel"/>
    <w:tmpl w:val="7DFCC4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573880"/>
    <w:multiLevelType w:val="hybridMultilevel"/>
    <w:tmpl w:val="FA6A46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A1A3F"/>
    <w:multiLevelType w:val="hybridMultilevel"/>
    <w:tmpl w:val="7DFCC4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CD0ECE"/>
    <w:multiLevelType w:val="hybridMultilevel"/>
    <w:tmpl w:val="C1624F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1C0871"/>
    <w:multiLevelType w:val="hybridMultilevel"/>
    <w:tmpl w:val="5DCCEE0C"/>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282413"/>
    <w:multiLevelType w:val="hybridMultilevel"/>
    <w:tmpl w:val="3782C99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39A4115D"/>
    <w:multiLevelType w:val="hybridMultilevel"/>
    <w:tmpl w:val="9AF40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4641A80"/>
    <w:multiLevelType w:val="hybridMultilevel"/>
    <w:tmpl w:val="92F434D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719545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0537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173303">
    <w:abstractNumId w:val="0"/>
  </w:num>
  <w:num w:numId="4" w16cid:durableId="592131980">
    <w:abstractNumId w:val="6"/>
  </w:num>
  <w:num w:numId="5" w16cid:durableId="209614165">
    <w:abstractNumId w:val="1"/>
  </w:num>
  <w:num w:numId="6" w16cid:durableId="164631745">
    <w:abstractNumId w:val="7"/>
  </w:num>
  <w:num w:numId="7" w16cid:durableId="469246483">
    <w:abstractNumId w:val="4"/>
  </w:num>
  <w:num w:numId="8" w16cid:durableId="48187585">
    <w:abstractNumId w:val="2"/>
  </w:num>
  <w:num w:numId="9" w16cid:durableId="271397992">
    <w:abstractNumId w:val="5"/>
  </w:num>
  <w:num w:numId="10" w16cid:durableId="695934403">
    <w:abstractNumId w:val="3"/>
  </w:num>
  <w:num w:numId="11" w16cid:durableId="35132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6F"/>
    <w:rsid w:val="00004E34"/>
    <w:rsid w:val="00054A54"/>
    <w:rsid w:val="00071CAC"/>
    <w:rsid w:val="00071F13"/>
    <w:rsid w:val="0007445D"/>
    <w:rsid w:val="000B41C6"/>
    <w:rsid w:val="000C3C33"/>
    <w:rsid w:val="000E48F4"/>
    <w:rsid w:val="00142B00"/>
    <w:rsid w:val="0014469C"/>
    <w:rsid w:val="00154811"/>
    <w:rsid w:val="001819C7"/>
    <w:rsid w:val="00196CD0"/>
    <w:rsid w:val="001C588D"/>
    <w:rsid w:val="001C5945"/>
    <w:rsid w:val="00225CB1"/>
    <w:rsid w:val="002815C5"/>
    <w:rsid w:val="00281EE3"/>
    <w:rsid w:val="002A2510"/>
    <w:rsid w:val="002B3708"/>
    <w:rsid w:val="003224D5"/>
    <w:rsid w:val="00333CD0"/>
    <w:rsid w:val="003359EA"/>
    <w:rsid w:val="003416BB"/>
    <w:rsid w:val="00346898"/>
    <w:rsid w:val="00391DE9"/>
    <w:rsid w:val="003D0426"/>
    <w:rsid w:val="003D3D8B"/>
    <w:rsid w:val="003E0672"/>
    <w:rsid w:val="003E3015"/>
    <w:rsid w:val="00400129"/>
    <w:rsid w:val="00400782"/>
    <w:rsid w:val="0040581D"/>
    <w:rsid w:val="00480E3F"/>
    <w:rsid w:val="00491196"/>
    <w:rsid w:val="004D1741"/>
    <w:rsid w:val="004F5922"/>
    <w:rsid w:val="0050135C"/>
    <w:rsid w:val="0058500F"/>
    <w:rsid w:val="00597F95"/>
    <w:rsid w:val="005B70D9"/>
    <w:rsid w:val="005C6CE3"/>
    <w:rsid w:val="006101F6"/>
    <w:rsid w:val="0061159A"/>
    <w:rsid w:val="00666FE2"/>
    <w:rsid w:val="00697D1B"/>
    <w:rsid w:val="006B0D70"/>
    <w:rsid w:val="006B3246"/>
    <w:rsid w:val="006B7AED"/>
    <w:rsid w:val="006C1A82"/>
    <w:rsid w:val="006C66A7"/>
    <w:rsid w:val="006F78CD"/>
    <w:rsid w:val="00710D5B"/>
    <w:rsid w:val="00731D95"/>
    <w:rsid w:val="00747BE8"/>
    <w:rsid w:val="007571C7"/>
    <w:rsid w:val="007618CD"/>
    <w:rsid w:val="007646AE"/>
    <w:rsid w:val="007925E9"/>
    <w:rsid w:val="007B336A"/>
    <w:rsid w:val="007E3081"/>
    <w:rsid w:val="00841AE5"/>
    <w:rsid w:val="00861383"/>
    <w:rsid w:val="00887ADF"/>
    <w:rsid w:val="008902A7"/>
    <w:rsid w:val="008E339C"/>
    <w:rsid w:val="0090002A"/>
    <w:rsid w:val="0090169A"/>
    <w:rsid w:val="00927736"/>
    <w:rsid w:val="00932195"/>
    <w:rsid w:val="00935A4E"/>
    <w:rsid w:val="009457D5"/>
    <w:rsid w:val="00955C7B"/>
    <w:rsid w:val="00977A4E"/>
    <w:rsid w:val="00981DFD"/>
    <w:rsid w:val="009879D4"/>
    <w:rsid w:val="009A1615"/>
    <w:rsid w:val="009B3786"/>
    <w:rsid w:val="009E1E35"/>
    <w:rsid w:val="009E7BD4"/>
    <w:rsid w:val="00A07AC6"/>
    <w:rsid w:val="00A07EA0"/>
    <w:rsid w:val="00A12583"/>
    <w:rsid w:val="00A2534B"/>
    <w:rsid w:val="00A37974"/>
    <w:rsid w:val="00A42075"/>
    <w:rsid w:val="00A7438F"/>
    <w:rsid w:val="00A817CF"/>
    <w:rsid w:val="00AB200A"/>
    <w:rsid w:val="00AC4C3D"/>
    <w:rsid w:val="00AE3043"/>
    <w:rsid w:val="00AF5F53"/>
    <w:rsid w:val="00B05F27"/>
    <w:rsid w:val="00B27765"/>
    <w:rsid w:val="00B46EB3"/>
    <w:rsid w:val="00BA1A5F"/>
    <w:rsid w:val="00BC26F7"/>
    <w:rsid w:val="00BC6B0E"/>
    <w:rsid w:val="00BD5881"/>
    <w:rsid w:val="00C117C5"/>
    <w:rsid w:val="00C17264"/>
    <w:rsid w:val="00C20F2B"/>
    <w:rsid w:val="00C25DE8"/>
    <w:rsid w:val="00C51C43"/>
    <w:rsid w:val="00C571F4"/>
    <w:rsid w:val="00C720F1"/>
    <w:rsid w:val="00C764E6"/>
    <w:rsid w:val="00C77C9E"/>
    <w:rsid w:val="00C86D8F"/>
    <w:rsid w:val="00CB7465"/>
    <w:rsid w:val="00CE2E36"/>
    <w:rsid w:val="00CE4358"/>
    <w:rsid w:val="00CF2C18"/>
    <w:rsid w:val="00CF3A6F"/>
    <w:rsid w:val="00CF564B"/>
    <w:rsid w:val="00D26E4E"/>
    <w:rsid w:val="00D40811"/>
    <w:rsid w:val="00D42BE3"/>
    <w:rsid w:val="00D746AD"/>
    <w:rsid w:val="00DA16E8"/>
    <w:rsid w:val="00DF6863"/>
    <w:rsid w:val="00E1313D"/>
    <w:rsid w:val="00E23C3B"/>
    <w:rsid w:val="00E24DE4"/>
    <w:rsid w:val="00E3548D"/>
    <w:rsid w:val="00E545EA"/>
    <w:rsid w:val="00E559A3"/>
    <w:rsid w:val="00E80EA7"/>
    <w:rsid w:val="00E851DB"/>
    <w:rsid w:val="00E86422"/>
    <w:rsid w:val="00E86E7D"/>
    <w:rsid w:val="00E934CC"/>
    <w:rsid w:val="00EB0170"/>
    <w:rsid w:val="00ED35C3"/>
    <w:rsid w:val="00EE5249"/>
    <w:rsid w:val="00EF1A6A"/>
    <w:rsid w:val="00F04000"/>
    <w:rsid w:val="00F84753"/>
    <w:rsid w:val="00F932A7"/>
    <w:rsid w:val="00FC32F3"/>
    <w:rsid w:val="00FD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9251F"/>
  <w15:chartTrackingRefBased/>
  <w15:docId w15:val="{7886939B-1F5F-4566-9AE4-722615F2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character" w:styleId="UnresolvedMention">
    <w:name w:val="Unresolved Mention"/>
    <w:basedOn w:val="DefaultParagraphFont"/>
    <w:uiPriority w:val="99"/>
    <w:semiHidden/>
    <w:unhideWhenUsed/>
    <w:rsid w:val="00BD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974483">
      <w:bodyDiv w:val="1"/>
      <w:marLeft w:val="0"/>
      <w:marRight w:val="0"/>
      <w:marTop w:val="0"/>
      <w:marBottom w:val="0"/>
      <w:divBdr>
        <w:top w:val="none" w:sz="0" w:space="0" w:color="auto"/>
        <w:left w:val="none" w:sz="0" w:space="0" w:color="auto"/>
        <w:bottom w:val="none" w:sz="0" w:space="0" w:color="auto"/>
        <w:right w:val="none" w:sz="0" w:space="0" w:color="auto"/>
      </w:divBdr>
    </w:div>
    <w:div w:id="639698912">
      <w:bodyDiv w:val="1"/>
      <w:marLeft w:val="0"/>
      <w:marRight w:val="0"/>
      <w:marTop w:val="0"/>
      <w:marBottom w:val="0"/>
      <w:divBdr>
        <w:top w:val="none" w:sz="0" w:space="0" w:color="auto"/>
        <w:left w:val="none" w:sz="0" w:space="0" w:color="auto"/>
        <w:bottom w:val="none" w:sz="0" w:space="0" w:color="auto"/>
        <w:right w:val="none" w:sz="0" w:space="0" w:color="auto"/>
      </w:divBdr>
    </w:div>
    <w:div w:id="735707883">
      <w:bodyDiv w:val="1"/>
      <w:marLeft w:val="0"/>
      <w:marRight w:val="0"/>
      <w:marTop w:val="0"/>
      <w:marBottom w:val="0"/>
      <w:divBdr>
        <w:top w:val="none" w:sz="0" w:space="0" w:color="auto"/>
        <w:left w:val="none" w:sz="0" w:space="0" w:color="auto"/>
        <w:bottom w:val="none" w:sz="0" w:space="0" w:color="auto"/>
        <w:right w:val="none" w:sz="0" w:space="0" w:color="auto"/>
      </w:divBdr>
      <w:divsChild>
        <w:div w:id="457530650">
          <w:marLeft w:val="0"/>
          <w:marRight w:val="0"/>
          <w:marTop w:val="0"/>
          <w:marBottom w:val="0"/>
          <w:divBdr>
            <w:top w:val="none" w:sz="0" w:space="0" w:color="auto"/>
            <w:left w:val="none" w:sz="0" w:space="0" w:color="auto"/>
            <w:bottom w:val="none" w:sz="0" w:space="0" w:color="auto"/>
            <w:right w:val="none" w:sz="0" w:space="0" w:color="auto"/>
          </w:divBdr>
          <w:divsChild>
            <w:div w:id="1630667046">
              <w:marLeft w:val="0"/>
              <w:marRight w:val="0"/>
              <w:marTop w:val="0"/>
              <w:marBottom w:val="0"/>
              <w:divBdr>
                <w:top w:val="none" w:sz="0" w:space="0" w:color="auto"/>
                <w:left w:val="none" w:sz="0" w:space="0" w:color="auto"/>
                <w:bottom w:val="none" w:sz="0" w:space="0" w:color="auto"/>
                <w:right w:val="none" w:sz="0" w:space="0" w:color="auto"/>
              </w:divBdr>
              <w:divsChild>
                <w:div w:id="924337443">
                  <w:marLeft w:val="0"/>
                  <w:marRight w:val="0"/>
                  <w:marTop w:val="0"/>
                  <w:marBottom w:val="0"/>
                  <w:divBdr>
                    <w:top w:val="none" w:sz="0" w:space="0" w:color="auto"/>
                    <w:left w:val="none" w:sz="0" w:space="0" w:color="auto"/>
                    <w:bottom w:val="none" w:sz="0" w:space="0" w:color="auto"/>
                    <w:right w:val="none" w:sz="0" w:space="0" w:color="auto"/>
                  </w:divBdr>
                  <w:divsChild>
                    <w:div w:id="1016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1617">
          <w:marLeft w:val="0"/>
          <w:marRight w:val="0"/>
          <w:marTop w:val="0"/>
          <w:marBottom w:val="0"/>
          <w:divBdr>
            <w:top w:val="none" w:sz="0" w:space="0" w:color="auto"/>
            <w:left w:val="none" w:sz="0" w:space="0" w:color="auto"/>
            <w:bottom w:val="none" w:sz="0" w:space="0" w:color="auto"/>
            <w:right w:val="none" w:sz="0" w:space="0" w:color="auto"/>
          </w:divBdr>
          <w:divsChild>
            <w:div w:id="1310473832">
              <w:marLeft w:val="0"/>
              <w:marRight w:val="0"/>
              <w:marTop w:val="0"/>
              <w:marBottom w:val="0"/>
              <w:divBdr>
                <w:top w:val="none" w:sz="0" w:space="0" w:color="auto"/>
                <w:left w:val="none" w:sz="0" w:space="0" w:color="auto"/>
                <w:bottom w:val="none" w:sz="0" w:space="0" w:color="auto"/>
                <w:right w:val="none" w:sz="0" w:space="0" w:color="auto"/>
              </w:divBdr>
              <w:divsChild>
                <w:div w:id="1564221341">
                  <w:marLeft w:val="0"/>
                  <w:marRight w:val="0"/>
                  <w:marTop w:val="0"/>
                  <w:marBottom w:val="0"/>
                  <w:divBdr>
                    <w:top w:val="none" w:sz="0" w:space="0" w:color="auto"/>
                    <w:left w:val="none" w:sz="0" w:space="0" w:color="auto"/>
                    <w:bottom w:val="none" w:sz="0" w:space="0" w:color="auto"/>
                    <w:right w:val="none" w:sz="0" w:space="0" w:color="auto"/>
                  </w:divBdr>
                  <w:divsChild>
                    <w:div w:id="13748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3991">
      <w:bodyDiv w:val="1"/>
      <w:marLeft w:val="0"/>
      <w:marRight w:val="0"/>
      <w:marTop w:val="0"/>
      <w:marBottom w:val="0"/>
      <w:divBdr>
        <w:top w:val="none" w:sz="0" w:space="0" w:color="auto"/>
        <w:left w:val="none" w:sz="0" w:space="0" w:color="auto"/>
        <w:bottom w:val="none" w:sz="0" w:space="0" w:color="auto"/>
        <w:right w:val="none" w:sz="0" w:space="0" w:color="auto"/>
      </w:divBdr>
    </w:div>
    <w:div w:id="1235167578">
      <w:bodyDiv w:val="1"/>
      <w:marLeft w:val="0"/>
      <w:marRight w:val="0"/>
      <w:marTop w:val="0"/>
      <w:marBottom w:val="0"/>
      <w:divBdr>
        <w:top w:val="none" w:sz="0" w:space="0" w:color="auto"/>
        <w:left w:val="none" w:sz="0" w:space="0" w:color="auto"/>
        <w:bottom w:val="none" w:sz="0" w:space="0" w:color="auto"/>
        <w:right w:val="none" w:sz="0" w:space="0" w:color="auto"/>
      </w:divBdr>
    </w:div>
    <w:div w:id="1488782661">
      <w:bodyDiv w:val="1"/>
      <w:marLeft w:val="0"/>
      <w:marRight w:val="0"/>
      <w:marTop w:val="0"/>
      <w:marBottom w:val="0"/>
      <w:divBdr>
        <w:top w:val="none" w:sz="0" w:space="0" w:color="auto"/>
        <w:left w:val="none" w:sz="0" w:space="0" w:color="auto"/>
        <w:bottom w:val="none" w:sz="0" w:space="0" w:color="auto"/>
        <w:right w:val="none" w:sz="0" w:space="0" w:color="auto"/>
      </w:divBdr>
    </w:div>
    <w:div w:id="1636178042">
      <w:bodyDiv w:val="1"/>
      <w:marLeft w:val="0"/>
      <w:marRight w:val="0"/>
      <w:marTop w:val="0"/>
      <w:marBottom w:val="0"/>
      <w:divBdr>
        <w:top w:val="none" w:sz="0" w:space="0" w:color="auto"/>
        <w:left w:val="none" w:sz="0" w:space="0" w:color="auto"/>
        <w:bottom w:val="none" w:sz="0" w:space="0" w:color="auto"/>
        <w:right w:val="none" w:sz="0" w:space="0" w:color="auto"/>
      </w:divBdr>
    </w:div>
    <w:div w:id="1856310496">
      <w:bodyDiv w:val="1"/>
      <w:marLeft w:val="0"/>
      <w:marRight w:val="0"/>
      <w:marTop w:val="0"/>
      <w:marBottom w:val="0"/>
      <w:divBdr>
        <w:top w:val="none" w:sz="0" w:space="0" w:color="auto"/>
        <w:left w:val="none" w:sz="0" w:space="0" w:color="auto"/>
        <w:bottom w:val="none" w:sz="0" w:space="0" w:color="auto"/>
        <w:right w:val="none" w:sz="0" w:space="0" w:color="auto"/>
      </w:divBdr>
      <w:divsChild>
        <w:div w:id="1135106292">
          <w:marLeft w:val="0"/>
          <w:marRight w:val="0"/>
          <w:marTop w:val="0"/>
          <w:marBottom w:val="0"/>
          <w:divBdr>
            <w:top w:val="none" w:sz="0" w:space="0" w:color="auto"/>
            <w:left w:val="none" w:sz="0" w:space="0" w:color="auto"/>
            <w:bottom w:val="none" w:sz="0" w:space="0" w:color="auto"/>
            <w:right w:val="none" w:sz="0" w:space="0" w:color="auto"/>
          </w:divBdr>
          <w:divsChild>
            <w:div w:id="827551053">
              <w:marLeft w:val="0"/>
              <w:marRight w:val="0"/>
              <w:marTop w:val="0"/>
              <w:marBottom w:val="0"/>
              <w:divBdr>
                <w:top w:val="none" w:sz="0" w:space="0" w:color="auto"/>
                <w:left w:val="none" w:sz="0" w:space="0" w:color="auto"/>
                <w:bottom w:val="none" w:sz="0" w:space="0" w:color="auto"/>
                <w:right w:val="none" w:sz="0" w:space="0" w:color="auto"/>
              </w:divBdr>
              <w:divsChild>
                <w:div w:id="1320386340">
                  <w:marLeft w:val="0"/>
                  <w:marRight w:val="0"/>
                  <w:marTop w:val="0"/>
                  <w:marBottom w:val="0"/>
                  <w:divBdr>
                    <w:top w:val="none" w:sz="0" w:space="0" w:color="auto"/>
                    <w:left w:val="none" w:sz="0" w:space="0" w:color="auto"/>
                    <w:bottom w:val="none" w:sz="0" w:space="0" w:color="auto"/>
                    <w:right w:val="none" w:sz="0" w:space="0" w:color="auto"/>
                  </w:divBdr>
                  <w:divsChild>
                    <w:div w:id="893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5305">
          <w:marLeft w:val="0"/>
          <w:marRight w:val="0"/>
          <w:marTop w:val="0"/>
          <w:marBottom w:val="0"/>
          <w:divBdr>
            <w:top w:val="none" w:sz="0" w:space="0" w:color="auto"/>
            <w:left w:val="none" w:sz="0" w:space="0" w:color="auto"/>
            <w:bottom w:val="none" w:sz="0" w:space="0" w:color="auto"/>
            <w:right w:val="none" w:sz="0" w:space="0" w:color="auto"/>
          </w:divBdr>
          <w:divsChild>
            <w:div w:id="1156528802">
              <w:marLeft w:val="0"/>
              <w:marRight w:val="0"/>
              <w:marTop w:val="0"/>
              <w:marBottom w:val="0"/>
              <w:divBdr>
                <w:top w:val="none" w:sz="0" w:space="0" w:color="auto"/>
                <w:left w:val="none" w:sz="0" w:space="0" w:color="auto"/>
                <w:bottom w:val="none" w:sz="0" w:space="0" w:color="auto"/>
                <w:right w:val="none" w:sz="0" w:space="0" w:color="auto"/>
              </w:divBdr>
              <w:divsChild>
                <w:div w:id="1643345139">
                  <w:marLeft w:val="0"/>
                  <w:marRight w:val="0"/>
                  <w:marTop w:val="0"/>
                  <w:marBottom w:val="0"/>
                  <w:divBdr>
                    <w:top w:val="none" w:sz="0" w:space="0" w:color="auto"/>
                    <w:left w:val="none" w:sz="0" w:space="0" w:color="auto"/>
                    <w:bottom w:val="none" w:sz="0" w:space="0" w:color="auto"/>
                    <w:right w:val="none" w:sz="0" w:space="0" w:color="auto"/>
                  </w:divBdr>
                  <w:divsChild>
                    <w:div w:id="5981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8408">
      <w:bodyDiv w:val="1"/>
      <w:marLeft w:val="0"/>
      <w:marRight w:val="0"/>
      <w:marTop w:val="0"/>
      <w:marBottom w:val="0"/>
      <w:divBdr>
        <w:top w:val="none" w:sz="0" w:space="0" w:color="auto"/>
        <w:left w:val="none" w:sz="0" w:space="0" w:color="auto"/>
        <w:bottom w:val="none" w:sz="0" w:space="0" w:color="auto"/>
        <w:right w:val="none" w:sz="0" w:space="0" w:color="auto"/>
      </w:divBdr>
    </w:div>
    <w:div w:id="18951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who.int/news-room/fact-sheets/detail/autism-spectrum-disord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6277/geoekonomi.v9i1.1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7491/landjournal.v2i1.10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2502-7689" TargetMode="External"/><Relationship Id="rId20" Type="http://schemas.openxmlformats.org/officeDocument/2006/relationships/hyperlink" Target="https://www.sahamgain.com/2020/11/perusahaan-%20transportasi-yang-terdaft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0871/jama.v2i2.910" TargetMode="External"/><Relationship Id="rId5" Type="http://schemas.openxmlformats.org/officeDocument/2006/relationships/webSettings" Target="webSettings.xml"/><Relationship Id="rId15" Type="http://schemas.openxmlformats.org/officeDocument/2006/relationships/hyperlink" Target="https://doi.org/10.24843/ejmunud.2020.v09.i03.p13" TargetMode="External"/><Relationship Id="rId23" Type="http://schemas.openxmlformats.org/officeDocument/2006/relationships/hyperlink" Target="https://doi.org/10.36277/geoekonomi.v10i1.50" TargetMode="External"/><Relationship Id="rId10" Type="http://schemas.openxmlformats.org/officeDocument/2006/relationships/footer" Target="footer1.xml"/><Relationship Id="rId19" Type="http://schemas.openxmlformats.org/officeDocument/2006/relationships/hyperlink" Target="https://doi.org/10.24912/jmbk.v3i2.495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jurnalmahasiswa.stiesia.ac.id/index.php/jirm/article/view/359/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Ich13</b:Tag>
    <b:SourceType>JournalArticle</b:SourceType>
    <b:Guid>{4E307BA9-D9C8-4F17-A315-BD3CC3EE5470}</b:Guid>
    <b:Title>Sistem Pendukung Keputusan Pemilihan Penerima Beasiswa Mahasiswa Kurang Mampu Pada STMIK BUDIDARMA Medan Menerapkan Metode Profile Matching</b:Title>
    <b:Year>2013</b:Year>
    <b:Author>
      <b:Author>
        <b:NameList>
          <b:Person>
            <b:Last>Ichsan</b:Last>
          </b:Person>
        </b:NameList>
      </b:Author>
    </b:Author>
    <b:JournalName>Kursor</b:JournalName>
    <b:Pages>2</b:Pages>
    <b:Month>November</b:Month>
    <b:Volume>5</b:Volume>
    <b:Issue>1</b:Issue>
    <b:URL>http://pelita-informatika.com/berkas/jurnal/1.%20TM%20Syahru.pdf</b:URL>
    <b:YearAccessed>2016</b:YearAccessed>
    <b:MonthAccessed>April</b:MonthAccessed>
    <b:DayAccessed>14</b:DayAccessed>
    <b:RefOrder>1</b:RefOrder>
  </b:Source>
</b:Sources>
</file>

<file path=customXml/itemProps1.xml><?xml version="1.0" encoding="utf-8"?>
<ds:datastoreItem xmlns:ds="http://schemas.openxmlformats.org/officeDocument/2006/customXml" ds:itemID="{2C6CB819-2C36-4682-A39B-62916C76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dc:description/>
  <cp:lastModifiedBy>nurul faradila</cp:lastModifiedBy>
  <cp:revision>2</cp:revision>
  <dcterms:created xsi:type="dcterms:W3CDTF">2024-10-14T15:46:00Z</dcterms:created>
  <dcterms:modified xsi:type="dcterms:W3CDTF">2024-10-14T15:46:00Z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y fmtid="{D5CDD505-2E9C-101B-9397-08002B2CF9AE}" pid="25" name="GrammarlyDocumentId">
    <vt:lpwstr>c6b1bc73ba8a740d4cdbc6980e3b59370fb0d23ffe0cc2a5c9a8bd5786f5d63d</vt:lpwstr>
  </property>
</Properties>
</file>