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B91D" w14:textId="77777777" w:rsidR="004048E7" w:rsidRPr="00460709" w:rsidRDefault="004048E7" w:rsidP="004048E7">
      <w:pPr>
        <w:spacing w:before="57" w:after="0" w:line="240" w:lineRule="auto"/>
        <w:ind w:left="3237" w:right="32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>S</w:t>
      </w:r>
      <w:r w:rsidRPr="00460709">
        <w:rPr>
          <w:rFonts w:ascii="Times New Roman" w:eastAsia="Times New Roman" w:hAnsi="Times New Roman" w:cs="Times New Roman"/>
          <w:b/>
          <w:spacing w:val="-12"/>
          <w:kern w:val="0"/>
          <w:sz w:val="28"/>
          <w:szCs w:val="28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b/>
          <w:spacing w:val="-13"/>
          <w:kern w:val="0"/>
          <w:sz w:val="28"/>
          <w:szCs w:val="28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r</w:t>
      </w:r>
    </w:p>
    <w:p w14:paraId="164954CB" w14:textId="77777777" w:rsidR="004048E7" w:rsidRPr="00460709" w:rsidRDefault="004048E7" w:rsidP="004048E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646BF9F" w14:textId="77777777" w:rsidR="004048E7" w:rsidRPr="00460709" w:rsidRDefault="004048E7" w:rsidP="004048E7">
      <w:pPr>
        <w:spacing w:before="12"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3D7A66" w14:textId="77777777" w:rsidR="004048E7" w:rsidRPr="004048E7" w:rsidRDefault="004048E7" w:rsidP="004048E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S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mi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Membedah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PerDirjen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Pajak No. Per-6/PJ/2024: NIK, NPWP, &amp; Underground Economy (Jilid 2)</w:t>
      </w:r>
    </w:p>
    <w:p w14:paraId="20918E31" w14:textId="25435BC8" w:rsidR="004048E7" w:rsidRPr="00460709" w:rsidRDefault="004048E7" w:rsidP="004048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>:</w:t>
      </w:r>
      <w:proofErr w:type="gram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Membedah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PerDirjen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Pajak No. Per-6/PJ/2024: NIK, NPWP, &amp; Underground Economy (Jilid 2)</w:t>
      </w:r>
    </w:p>
    <w:p w14:paraId="0B08B091" w14:textId="77777777" w:rsidR="004048E7" w:rsidRPr="00460709" w:rsidRDefault="004048E7" w:rsidP="004048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car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 Prianto Budi S, Ak., CA., M.B.A (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Praktisi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Akademisi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dan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Pratama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Institute for Fiscal Policy &amp; Governance Studies)</w:t>
      </w:r>
    </w:p>
    <w:p w14:paraId="676A5815" w14:textId="77777777" w:rsidR="004048E7" w:rsidRPr="004048E7" w:rsidRDefault="004048E7" w:rsidP="004048E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S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Ria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Sagita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Dewi, S.E (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Konsultan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TP Doc)</w:t>
      </w:r>
    </w:p>
    <w:p w14:paraId="75C1FA50" w14:textId="77777777" w:rsidR="004048E7" w:rsidRPr="004048E7" w:rsidRDefault="004048E7" w:rsidP="004048E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era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Ria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Sagita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Dewi, S.E (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Konsultan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TP Doc)</w:t>
      </w:r>
    </w:p>
    <w:p w14:paraId="2DACC35A" w14:textId="77777777" w:rsidR="004048E7" w:rsidRPr="004048E7" w:rsidRDefault="004048E7" w:rsidP="004048E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y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>l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ngg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proofErr w:type="spellStart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Pratama</w:t>
      </w:r>
      <w:proofErr w:type="spellEnd"/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Institute for Fiscal Policy &amp; Governance Studies, Knowledge &amp; Development Center</w:t>
      </w:r>
    </w:p>
    <w:p w14:paraId="57CF29F0" w14:textId="599AE0BD" w:rsidR="004048E7" w:rsidRPr="004048E7" w:rsidRDefault="004048E7" w:rsidP="004048E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ar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46070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</w:t>
      </w:r>
      <w:r w:rsidRPr="0046070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>g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04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Rabu, 24 Juli 2024</w:t>
      </w:r>
    </w:p>
    <w:p w14:paraId="4188B8A6" w14:textId="77777777" w:rsidR="004048E7" w:rsidRPr="004048E7" w:rsidRDefault="004048E7" w:rsidP="004048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070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W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     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ukul</w:t>
      </w:r>
      <w:proofErr w:type="spellEnd"/>
      <w:r w:rsidRPr="0046070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09.00</w:t>
      </w:r>
      <w:r w:rsidRPr="0046070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/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46070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12.00</w:t>
      </w:r>
      <w:r w:rsidRPr="0046070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46070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 </w:t>
      </w:r>
    </w:p>
    <w:p w14:paraId="352097B0" w14:textId="77777777" w:rsidR="004048E7" w:rsidRPr="00460709" w:rsidRDefault="004048E7" w:rsidP="004048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Bi</w:t>
      </w:r>
      <w:r w:rsidRPr="0046070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y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>G</w:t>
      </w:r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t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</w:t>
      </w:r>
    </w:p>
    <w:p w14:paraId="3E681D8B" w14:textId="77777777" w:rsidR="004048E7" w:rsidRPr="00460709" w:rsidRDefault="004048E7" w:rsidP="004048E7">
      <w:pPr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46070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>l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ks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aa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proofErr w:type="gramStart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4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460709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Z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</w:t>
      </w:r>
      <w:r w:rsidRPr="00460709">
        <w:rPr>
          <w:rFonts w:ascii="Times New Roman" w:eastAsia="Times New Roman" w:hAnsi="Times New Roman" w:cs="Times New Roman"/>
          <w:b/>
          <w:spacing w:val="3"/>
          <w:kern w:val="0"/>
          <w:sz w:val="24"/>
          <w:szCs w:val="24"/>
          <w14:ligatures w14:val="none"/>
        </w:rPr>
        <w:t>o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460709">
        <w:rPr>
          <w:rFonts w:ascii="Times New Roman" w:eastAsia="Times New Roman" w:hAnsi="Times New Roman" w:cs="Times New Roman"/>
          <w:b/>
          <w:spacing w:val="2"/>
          <w:kern w:val="0"/>
          <w:sz w:val="24"/>
          <w:szCs w:val="24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eet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>in</w:t>
      </w:r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g </w:t>
      </w:r>
      <w:proofErr w:type="spellStart"/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kapasitas</w:t>
      </w:r>
      <w:proofErr w:type="spellEnd"/>
      <w:r w:rsidRPr="004607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1000 orang</w:t>
      </w:r>
    </w:p>
    <w:p w14:paraId="3B4238D6" w14:textId="77777777" w:rsidR="004048E7" w:rsidRPr="00460709" w:rsidRDefault="004048E7" w:rsidP="004048E7">
      <w:pPr>
        <w:spacing w:before="6" w:after="0" w:line="240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8B2D53" w14:textId="77777777" w:rsidR="004048E7" w:rsidRPr="00460709" w:rsidRDefault="004048E7" w:rsidP="004048E7">
      <w:pPr>
        <w:spacing w:before="5" w:after="0" w:line="180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869587" w14:textId="77777777" w:rsidR="004048E7" w:rsidRPr="004048E7" w:rsidRDefault="00000000" w:rsidP="00404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hyperlink r:id="rId4" w:tgtFrame="_blank" w:history="1">
        <w:r w:rsidR="004048E7" w:rsidRPr="004048E7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https://us02web.zoom.us/j/3852257873?pwd=ZVY4YnBzdnVCYWxETzB3bERNMmFIUT09&amp;omn=84171720883</w:t>
        </w:r>
      </w:hyperlink>
    </w:p>
    <w:p w14:paraId="58233641" w14:textId="77777777" w:rsidR="004048E7" w:rsidRPr="004048E7" w:rsidRDefault="004048E7" w:rsidP="00404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4048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Meeting ID: 385 225 7873</w:t>
      </w:r>
    </w:p>
    <w:p w14:paraId="59E55020" w14:textId="77777777" w:rsidR="004048E7" w:rsidRPr="004048E7" w:rsidRDefault="004048E7" w:rsidP="00404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4048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Passcode: 880051</w:t>
      </w:r>
    </w:p>
    <w:p w14:paraId="4D3FC6C6" w14:textId="77777777" w:rsidR="004048E7" w:rsidRPr="004048E7" w:rsidRDefault="004048E7" w:rsidP="00404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22B96A08" w14:textId="77777777" w:rsidR="004048E7" w:rsidRPr="004048E7" w:rsidRDefault="004048E7" w:rsidP="00404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4048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Live </w:t>
      </w:r>
      <w:proofErr w:type="spellStart"/>
      <w:r w:rsidRPr="004048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Youtube</w:t>
      </w:r>
      <w:proofErr w:type="spellEnd"/>
      <w:r w:rsidRPr="004048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Channel </w:t>
      </w:r>
    </w:p>
    <w:p w14:paraId="3E256F0D" w14:textId="77777777" w:rsidR="004048E7" w:rsidRPr="004048E7" w:rsidRDefault="004048E7" w:rsidP="00404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4048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Link: </w:t>
      </w:r>
      <w:hyperlink r:id="rId5" w:tgtFrame="_blank" w:history="1">
        <w:r w:rsidRPr="004048E7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https://pxl.to/youtube-pratamaindomitra</w:t>
        </w:r>
      </w:hyperlink>
    </w:p>
    <w:p w14:paraId="3DC12355" w14:textId="77777777" w:rsidR="004048E7" w:rsidRPr="00460709" w:rsidRDefault="004048E7" w:rsidP="004048E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5754028" w14:textId="77777777" w:rsidR="004048E7" w:rsidRPr="00460709" w:rsidRDefault="004048E7" w:rsidP="004048E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2B14EC" w14:textId="77777777" w:rsidR="004048E7" w:rsidRDefault="004048E7" w:rsidP="004048E7">
      <w:pPr>
        <w:spacing w:after="0" w:line="240" w:lineRule="auto"/>
        <w:ind w:left="3271" w:right="327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460709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>i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>g</w:t>
      </w:r>
      <w:r w:rsidRPr="00460709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8"/>
          <w14:ligatures w14:val="none"/>
        </w:rPr>
        <w:t>k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>asa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</w:t>
      </w:r>
      <w:proofErr w:type="spellEnd"/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460709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>M</w:t>
      </w:r>
      <w:r w:rsidRPr="00460709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>a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te</w:t>
      </w:r>
      <w:r w:rsidRPr="00460709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r</w:t>
      </w:r>
      <w:r w:rsidRPr="0046070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  :</w:t>
      </w:r>
      <w:proofErr w:type="gramEnd"/>
    </w:p>
    <w:p w14:paraId="05CE8C23" w14:textId="77777777" w:rsidR="004048E7" w:rsidRPr="00460709" w:rsidRDefault="004048E7" w:rsidP="004048E7">
      <w:pPr>
        <w:spacing w:after="0" w:line="240" w:lineRule="auto"/>
        <w:ind w:left="3271" w:right="327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9CD4770" w14:textId="27FA8618" w:rsidR="006F0BA3" w:rsidRDefault="006F0BA3" w:rsidP="006F0BA3">
      <w:r>
        <w:t xml:space="preserve">• </w:t>
      </w:r>
      <w:proofErr w:type="spellStart"/>
      <w:r>
        <w:t>Direktur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menerbitkan</w:t>
      </w:r>
      <w:proofErr w:type="spellEnd"/>
      <w:r>
        <w:t xml:space="preserve"> Per-6/PJ/2024 (“Per-6/2024”)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penggunaan</w:t>
      </w:r>
      <w:proofErr w:type="spellEnd"/>
    </w:p>
    <w:p w14:paraId="0C7B76EF" w14:textId="2F44F230" w:rsidR="006F0BA3" w:rsidRDefault="006F0BA3" w:rsidP="006F0BA3">
      <w:r>
        <w:t xml:space="preserve">1.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 xml:space="preserve"> (NIK)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Wajib Pajak,</w:t>
      </w:r>
    </w:p>
    <w:p w14:paraId="2EF317E7" w14:textId="7CBF171C" w:rsidR="006F0BA3" w:rsidRDefault="006F0BA3" w:rsidP="006F0BA3">
      <w:r>
        <w:t xml:space="preserve">2.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Wajib Pajak (NPWP) </w:t>
      </w:r>
      <w:proofErr w:type="spellStart"/>
      <w:r>
        <w:t>dengan</w:t>
      </w:r>
      <w:proofErr w:type="spellEnd"/>
      <w:r>
        <w:t xml:space="preserve"> </w:t>
      </w:r>
      <w:r>
        <w:t>Format 16 (Enam Belas) Digit, dan</w:t>
      </w:r>
    </w:p>
    <w:p w14:paraId="21C1096F" w14:textId="77884386" w:rsidR="006F0BA3" w:rsidRDefault="006F0BA3" w:rsidP="006F0BA3">
      <w:r>
        <w:t xml:space="preserve">3.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Usaha</w:t>
      </w:r>
      <w:r>
        <w:t xml:space="preserve"> </w:t>
      </w:r>
      <w:r>
        <w:t>(NITKU)</w:t>
      </w:r>
      <w:r>
        <w:t xml:space="preserve"> </w:t>
      </w: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perpajakan</w:t>
      </w:r>
      <w:proofErr w:type="spellEnd"/>
    </w:p>
    <w:p w14:paraId="0B7D80C5" w14:textId="05939EC7" w:rsidR="004048E7" w:rsidRDefault="006F0BA3" w:rsidP="006F0BA3">
      <w:r>
        <w:t xml:space="preserve">• Per-6/2024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1 Juli 2024</w:t>
      </w:r>
    </w:p>
    <w:p w14:paraId="753FEE72" w14:textId="74907189" w:rsidR="006F0BA3" w:rsidRDefault="006F0BA3" w:rsidP="006F0BA3">
      <w:r>
        <w:t xml:space="preserve">• Dasar </w:t>
      </w:r>
      <w:proofErr w:type="spellStart"/>
      <w:r>
        <w:t>pertimbangan</w:t>
      </w:r>
      <w:proofErr w:type="spellEnd"/>
      <w:r>
        <w:t xml:space="preserve"> </w:t>
      </w:r>
      <w:r>
        <w:t>(</w:t>
      </w:r>
      <w:proofErr w:type="spellStart"/>
      <w:r>
        <w:t>konsiderans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ratio </w:t>
      </w:r>
      <w:proofErr w:type="spellStart"/>
      <w:r>
        <w:t>legis</w:t>
      </w:r>
      <w:proofErr w:type="spellEnd"/>
      <w:r>
        <w:t>)</w:t>
      </w:r>
      <w:r>
        <w:t xml:space="preserve"> </w:t>
      </w:r>
      <w:proofErr w:type="spellStart"/>
      <w:r>
        <w:t>dari</w:t>
      </w:r>
      <w:proofErr w:type="spellEnd"/>
      <w:r>
        <w:t xml:space="preserve"> Per-6/2024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</w:p>
    <w:p w14:paraId="30AB943C" w14:textId="77777777" w:rsidR="006F0BA3" w:rsidRDefault="006F0BA3" w:rsidP="006F0BA3">
      <w:r>
        <w:t xml:space="preserve">1. </w:t>
      </w:r>
      <w:proofErr w:type="spellStart"/>
      <w:r>
        <w:t>memberikan</w:t>
      </w:r>
      <w:proofErr w:type="spellEnd"/>
    </w:p>
    <w:p w14:paraId="41628F59" w14:textId="77777777" w:rsidR="006F0BA3" w:rsidRDefault="006F0BA3" w:rsidP="006F0BA3">
      <w:r>
        <w:t xml:space="preserve">a.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</w:t>
      </w:r>
    </w:p>
    <w:p w14:paraId="75273C9A" w14:textId="633E421D" w:rsidR="006F0BA3" w:rsidRDefault="006F0BA3" w:rsidP="006F0BA3">
      <w:r>
        <w:t xml:space="preserve">b.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Wajib Pajak dan</w:t>
      </w:r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serta</w:t>
      </w:r>
      <w:proofErr w:type="spellEnd"/>
    </w:p>
    <w:p w14:paraId="62802DA8" w14:textId="54F7F7B6" w:rsidR="006F0BA3" w:rsidRDefault="006F0BA3" w:rsidP="006F0BA3">
      <w:pPr>
        <w:jc w:val="both"/>
      </w:pPr>
      <w:r>
        <w:t xml:space="preserve">2.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kecukupan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r>
        <w:t xml:space="preserve">system </w:t>
      </w:r>
      <w:proofErr w:type="spellStart"/>
      <w:r>
        <w:t>administrasi</w:t>
      </w:r>
      <w:proofErr w:type="spellEnd"/>
      <w:r>
        <w:t xml:space="preserve"> yang</w:t>
      </w:r>
      <w:r>
        <w:t xml:space="preserve"> </w:t>
      </w:r>
      <w:proofErr w:type="spellStart"/>
      <w:r>
        <w:t>menggunakan</w:t>
      </w:r>
      <w:proofErr w:type="spellEnd"/>
    </w:p>
    <w:p w14:paraId="6A646FFA" w14:textId="77777777" w:rsidR="006F0BA3" w:rsidRDefault="006F0BA3" w:rsidP="006F0BA3">
      <w:r>
        <w:lastRenderedPageBreak/>
        <w:t xml:space="preserve">a. NIK </w:t>
      </w:r>
      <w:proofErr w:type="spellStart"/>
      <w:r>
        <w:t>sebagai</w:t>
      </w:r>
      <w:proofErr w:type="spellEnd"/>
      <w:r>
        <w:t xml:space="preserve"> NPWP,</w:t>
      </w:r>
    </w:p>
    <w:p w14:paraId="78EF6474" w14:textId="7D42A7FE" w:rsidR="006F0BA3" w:rsidRDefault="006F0BA3" w:rsidP="006F0BA3">
      <w:r>
        <w:t xml:space="preserve">b. NPWP </w:t>
      </w:r>
      <w:proofErr w:type="spellStart"/>
      <w:r>
        <w:t>dengan</w:t>
      </w:r>
      <w:proofErr w:type="spellEnd"/>
      <w:r>
        <w:t xml:space="preserve"> format</w:t>
      </w:r>
      <w:r>
        <w:t xml:space="preserve"> </w:t>
      </w:r>
      <w:r>
        <w:t xml:space="preserve">16 </w:t>
      </w:r>
      <w:proofErr w:type="gramStart"/>
      <w:r>
        <w:t>digit</w:t>
      </w:r>
      <w:proofErr w:type="gramEnd"/>
      <w:r>
        <w:t>, dan</w:t>
      </w:r>
    </w:p>
    <w:p w14:paraId="434E2D2A" w14:textId="0133BD81" w:rsidR="006F0BA3" w:rsidRDefault="006F0BA3" w:rsidP="006F0BA3">
      <w:r>
        <w:t>c. NITKU</w:t>
      </w:r>
    </w:p>
    <w:p w14:paraId="5A3C0D92" w14:textId="76FA236E" w:rsidR="006F0BA3" w:rsidRDefault="006F0BA3" w:rsidP="006F0BA3">
      <w:pPr>
        <w:jc w:val="both"/>
      </w:pPr>
      <w:r>
        <w:t xml:space="preserve">•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konsiderans</w:t>
      </w:r>
      <w:proofErr w:type="spellEnd"/>
      <w:r>
        <w:t xml:space="preserve"> Per-6/2024,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peraturan</w:t>
      </w:r>
      <w:proofErr w:type="spellEnd"/>
    </w:p>
    <w:p w14:paraId="06429930" w14:textId="108C5411" w:rsidR="006F0BA3" w:rsidRDefault="006F0BA3" w:rsidP="006F0BA3">
      <w:pPr>
        <w:jc w:val="both"/>
      </w:pPr>
      <w:proofErr w:type="spellStart"/>
      <w:r>
        <w:t>pelaksana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PerMenkeu</w:t>
      </w:r>
      <w:proofErr w:type="spellEnd"/>
      <w:r>
        <w:t xml:space="preserve"> </w:t>
      </w:r>
      <w:r>
        <w:t>(PMK) No. 112/PMK.03/2022</w:t>
      </w:r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(</w:t>
      </w:r>
      <w:proofErr w:type="spellStart"/>
      <w:r>
        <w:t>s.t.d.d</w:t>
      </w:r>
      <w:proofErr w:type="spellEnd"/>
      <w:r>
        <w:t>.) PMK</w:t>
      </w:r>
      <w:r>
        <w:t xml:space="preserve"> </w:t>
      </w:r>
      <w:r>
        <w:t>136/2023.</w:t>
      </w:r>
    </w:p>
    <w:p w14:paraId="677BF668" w14:textId="7B152A66" w:rsidR="006F0BA3" w:rsidRDefault="006F0BA3" w:rsidP="006F0BA3">
      <w:pPr>
        <w:jc w:val="both"/>
      </w:pPr>
      <w:r>
        <w:t xml:space="preserve">• </w:t>
      </w:r>
      <w:proofErr w:type="spellStart"/>
      <w:r>
        <w:t>Pemadanan</w:t>
      </w:r>
      <w:proofErr w:type="spellEnd"/>
      <w:r>
        <w:t xml:space="preserve"> NPWP </w:t>
      </w:r>
      <w:proofErr w:type="spellStart"/>
      <w:r>
        <w:t>dengan</w:t>
      </w:r>
      <w:proofErr w:type="spellEnd"/>
      <w:r>
        <w:t xml:space="preserve"> </w:t>
      </w:r>
      <w:r>
        <w:t xml:space="preserve">NIK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NIK yang </w:t>
      </w:r>
      <w:proofErr w:type="spellStart"/>
      <w:r>
        <w:t>tertuang</w:t>
      </w:r>
      <w:proofErr w:type="spellEnd"/>
      <w:r>
        <w:t xml:space="preserve"> </w:t>
      </w:r>
      <w:r>
        <w:t>di UU No. 23/2006 (</w:t>
      </w:r>
      <w:proofErr w:type="spellStart"/>
      <w:r>
        <w:t>s.t.d.d</w:t>
      </w:r>
      <w:proofErr w:type="spellEnd"/>
      <w:r>
        <w:t>. UU</w:t>
      </w:r>
      <w:r>
        <w:t xml:space="preserve"> </w:t>
      </w:r>
      <w:r>
        <w:t xml:space="preserve">No. 24/2013)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 xml:space="preserve"> </w:t>
      </w:r>
      <w:r>
        <w:t>(“UU AK”).</w:t>
      </w:r>
    </w:p>
    <w:p w14:paraId="1448B6C3" w14:textId="23487BC1" w:rsidR="006F0BA3" w:rsidRDefault="006F0BA3" w:rsidP="006F0BA3">
      <w:pPr>
        <w:jc w:val="both"/>
      </w:pPr>
      <w:r>
        <w:t xml:space="preserve">•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(di UU AK)</w:t>
      </w:r>
      <w:r>
        <w:t xml:space="preserve"> </w:t>
      </w:r>
      <w:r>
        <w:t xml:space="preserve">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dikutip</w:t>
      </w:r>
      <w:proofErr w:type="spellEnd"/>
      <w:r>
        <w:t xml:space="preserve"> </w:t>
      </w:r>
      <w:r>
        <w:t xml:space="preserve">di slide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12EAE649" w14:textId="097ACDDB" w:rsidR="006F0BA3" w:rsidRDefault="006F0BA3" w:rsidP="006F0BA3">
      <w:pPr>
        <w:jc w:val="both"/>
      </w:pPr>
      <w:r>
        <w:t xml:space="preserve">• Kata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pemadanan</w:t>
      </w:r>
      <w:proofErr w:type="spellEnd"/>
      <w:r>
        <w:t xml:space="preserve"> </w:t>
      </w:r>
      <w:r>
        <w:t xml:space="preserve">NIK dan NPWP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t xml:space="preserve">NPWP (yang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15 digit)</w:t>
      </w:r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gramStart"/>
      <w:r>
        <w:t>16</w:t>
      </w:r>
      <w:r>
        <w:t xml:space="preserve"> </w:t>
      </w:r>
      <w:r>
        <w:t>digit</w:t>
      </w:r>
      <w:proofErr w:type="gramEnd"/>
      <w:r>
        <w:t xml:space="preserve"> dan </w:t>
      </w:r>
      <w:proofErr w:type="spellStart"/>
      <w:r>
        <w:t>nomor</w:t>
      </w:r>
      <w:proofErr w:type="spellEnd"/>
      <w:r>
        <w:t xml:space="preserve"> di NPWP</w:t>
      </w:r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</w:t>
      </w:r>
      <w:r>
        <w:t xml:space="preserve"> </w:t>
      </w:r>
      <w:r>
        <w:t>NIK.</w:t>
      </w:r>
    </w:p>
    <w:p w14:paraId="4479962A" w14:textId="18281F4F" w:rsidR="006F0BA3" w:rsidRDefault="006F0BA3" w:rsidP="006F0BA3">
      <w:pPr>
        <w:jc w:val="both"/>
      </w:pPr>
      <w:r>
        <w:t xml:space="preserve">•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penduduk</w:t>
      </w:r>
      <w:proofErr w:type="spellEnd"/>
      <w:r>
        <w:t xml:space="preserve"> </w:t>
      </w:r>
      <w:r>
        <w:t>(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t xml:space="preserve">negeri)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r>
        <w:t xml:space="preserve">NIK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Wajib Pajak dan</w:t>
      </w:r>
      <w:r>
        <w:t xml:space="preserve"> </w:t>
      </w:r>
      <w:proofErr w:type="spellStart"/>
      <w:r>
        <w:t>memiliki</w:t>
      </w:r>
      <w:proofErr w:type="spellEnd"/>
      <w:r>
        <w:t xml:space="preserve"> NPWP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pajaknya</w:t>
      </w:r>
      <w:proofErr w:type="spellEnd"/>
      <w:r>
        <w:t>.</w:t>
      </w:r>
    </w:p>
    <w:p w14:paraId="503DF842" w14:textId="55AF25C9" w:rsidR="006F0BA3" w:rsidRDefault="006F0BA3" w:rsidP="006F0BA3">
      <w:pPr>
        <w:jc w:val="both"/>
      </w:pPr>
      <w:r>
        <w:t xml:space="preserve">•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diuraikan</w:t>
      </w:r>
      <w:proofErr w:type="spellEnd"/>
      <w:r>
        <w:t xml:space="preserve"> di</w:t>
      </w:r>
      <w:r>
        <w:t xml:space="preserve"> </w:t>
      </w:r>
      <w:r>
        <w:t xml:space="preserve">Latar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                                             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yang</w:t>
      </w:r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“Electronic Government” </w:t>
      </w:r>
      <w:proofErr w:type="spellStart"/>
      <w:r>
        <w:t>atau</w:t>
      </w:r>
      <w:proofErr w:type="spellEnd"/>
    </w:p>
    <w:p w14:paraId="7469D331" w14:textId="77777777" w:rsidR="006F0BA3" w:rsidRDefault="006F0BA3" w:rsidP="006F0BA3">
      <w:pPr>
        <w:jc w:val="both"/>
      </w:pPr>
      <w:r>
        <w:t>“e-Government.”</w:t>
      </w:r>
    </w:p>
    <w:p w14:paraId="5F209974" w14:textId="5F9403A0" w:rsidR="006F0BA3" w:rsidRDefault="006F0BA3" w:rsidP="006F0BA3">
      <w:r>
        <w:t xml:space="preserve">•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Sihombing</w:t>
      </w:r>
      <w:proofErr w:type="spellEnd"/>
      <w:r>
        <w:t xml:space="preserve"> &amp; </w:t>
      </w:r>
      <w:proofErr w:type="spellStart"/>
      <w:r>
        <w:t>Rajagukguk</w:t>
      </w:r>
      <w:proofErr w:type="spellEnd"/>
      <w:r>
        <w:t xml:space="preserve"> (</w:t>
      </w:r>
      <w:proofErr w:type="spellStart"/>
      <w:r>
        <w:t>Paradigma</w:t>
      </w:r>
      <w:proofErr w:type="spellEnd"/>
      <w:r>
        <w:t xml:space="preserve"> </w:t>
      </w:r>
      <w:r>
        <w:t xml:space="preserve">Good Government Dan Digital Society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Single Identity Number (SIN), 2013),</w:t>
      </w:r>
    </w:p>
    <w:p w14:paraId="2212C9E9" w14:textId="42F654E2" w:rsidR="006F0BA3" w:rsidRDefault="006F0BA3" w:rsidP="006F0BA3">
      <w:r>
        <w:t xml:space="preserve">1.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r>
        <w:t xml:space="preserve">digital </w:t>
      </w:r>
      <w:proofErr w:type="spellStart"/>
      <w:r>
        <w:t>atau</w:t>
      </w:r>
      <w:proofErr w:type="spellEnd"/>
      <w:r>
        <w:t xml:space="preserve"> e-government dan </w:t>
      </w:r>
      <w:proofErr w:type="spellStart"/>
      <w:r>
        <w:t>dan</w:t>
      </w:r>
      <w:proofErr w:type="spellEnd"/>
      <w:r>
        <w:t xml:space="preserve"> digital society.</w:t>
      </w:r>
      <w:r>
        <w:t xml:space="preserve">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dan</w:t>
      </w:r>
      <w:r>
        <w:t xml:space="preserve"> </w:t>
      </w:r>
      <w:proofErr w:type="spellStart"/>
      <w:r>
        <w:t>sebaliknya</w:t>
      </w:r>
      <w:proofErr w:type="spellEnd"/>
    </w:p>
    <w:p w14:paraId="112061EF" w14:textId="229F7028" w:rsidR="006F0BA3" w:rsidRDefault="006F0BA3" w:rsidP="006F0BA3">
      <w:r>
        <w:t xml:space="preserve">2.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>,</w:t>
      </w:r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e-government.</w:t>
      </w:r>
    </w:p>
    <w:p w14:paraId="6BFFAE9C" w14:textId="3083C5F6" w:rsidR="006F0BA3" w:rsidRDefault="006F0BA3" w:rsidP="006F0BA3">
      <w:r>
        <w:t xml:space="preserve">• </w:t>
      </w:r>
      <w:proofErr w:type="spellStart"/>
      <w:r>
        <w:t>Menurut</w:t>
      </w:r>
      <w:proofErr w:type="spellEnd"/>
      <w:r>
        <w:t xml:space="preserve"> Indrajit (Electronic Government: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Public </w:t>
      </w:r>
      <w:proofErr w:type="spellStart"/>
      <w:r>
        <w:t>Berbasis</w:t>
      </w:r>
      <w:proofErr w:type="spellEnd"/>
      <w:r>
        <w:t xml:space="preserve"> Internet dan </w:t>
      </w:r>
      <w:proofErr w:type="spellStart"/>
      <w:r>
        <w:t>Teknologi</w:t>
      </w:r>
      <w:proofErr w:type="spellEnd"/>
    </w:p>
    <w:p w14:paraId="4A1E39AA" w14:textId="410E4595" w:rsidR="006F0BA3" w:rsidRDefault="006F0BA3" w:rsidP="006F0BA3">
      <w:proofErr w:type="spellStart"/>
      <w:r>
        <w:t>Informasi</w:t>
      </w:r>
      <w:proofErr w:type="spellEnd"/>
      <w:r>
        <w:t xml:space="preserve">, 2006), e-government </w:t>
      </w:r>
      <w:proofErr w:type="spellStart"/>
      <w:r>
        <w:t>atau</w:t>
      </w:r>
      <w:proofErr w:type="spellEnd"/>
      <w:r>
        <w:t xml:space="preserve"> electronic</w:t>
      </w:r>
      <w:r>
        <w:t xml:space="preserve"> </w:t>
      </w:r>
      <w:r>
        <w:t xml:space="preserve">government </w:t>
      </w:r>
      <w:proofErr w:type="spellStart"/>
      <w:r>
        <w:t>atau</w:t>
      </w:r>
      <w:proofErr w:type="spellEnd"/>
      <w:r>
        <w:t xml:space="preserve"> e-Gov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t>“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bagi</w:t>
      </w:r>
      <w:proofErr w:type="spellEnd"/>
    </w:p>
    <w:p w14:paraId="1CD6A53D" w14:textId="04970B60" w:rsidR="006F0BA3" w:rsidRDefault="006F0BA3" w:rsidP="006F0BA3">
      <w:proofErr w:type="spellStart"/>
      <w:r>
        <w:t>warganya</w:t>
      </w:r>
      <w:proofErr w:type="spellEnd"/>
      <w:r>
        <w:t>....”.</w:t>
      </w:r>
    </w:p>
    <w:p w14:paraId="4514E110" w14:textId="77777777" w:rsidR="006F0BA3" w:rsidRDefault="006F0BA3" w:rsidP="006F0BA3"/>
    <w:sectPr w:rsidR="006F0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E7"/>
    <w:rsid w:val="004048E7"/>
    <w:rsid w:val="006F0BA3"/>
    <w:rsid w:val="009639EB"/>
    <w:rsid w:val="00E2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5E2E"/>
  <w15:chartTrackingRefBased/>
  <w15:docId w15:val="{6D9E1946-D663-4DE6-A887-35F6570F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8E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semiHidden/>
    <w:unhideWhenUsed/>
    <w:rsid w:val="00404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l.to/youtube-pratamaindomitra" TargetMode="External"/><Relationship Id="rId4" Type="http://schemas.openxmlformats.org/officeDocument/2006/relationships/hyperlink" Target="https://us02web.zoom.us/j/3852257873?pwd=ZVY4YnBzdnVCYWxETzB3bERNMmFIUT09&amp;omn=84171720883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 purwanti</dc:creator>
  <cp:keywords/>
  <dc:description/>
  <cp:lastModifiedBy>retno purwanti</cp:lastModifiedBy>
  <cp:revision>2</cp:revision>
  <dcterms:created xsi:type="dcterms:W3CDTF">2024-08-24T20:51:00Z</dcterms:created>
  <dcterms:modified xsi:type="dcterms:W3CDTF">2024-08-25T10:36:00Z</dcterms:modified>
</cp:coreProperties>
</file>